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432899"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14:anchorId="6A3FF6FF" wp14:editId="32F38362">
                  <wp:simplePos x="0" y="0"/>
                  <wp:positionH relativeFrom="column">
                    <wp:posOffset>-85725</wp:posOffset>
                  </wp:positionH>
                  <wp:positionV relativeFrom="page">
                    <wp:posOffset>97155</wp:posOffset>
                  </wp:positionV>
                  <wp:extent cx="5406390" cy="869315"/>
                  <wp:effectExtent l="0" t="0" r="3810" b="6985"/>
                  <wp:wrapNone/>
                  <wp:docPr id="3"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9">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456"/>
        <w:gridCol w:w="5054"/>
      </w:tblGrid>
      <w:tr w:rsidR="00333FAA">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B56DAE" w:rsidP="00B56DAE">
            <w:pPr>
              <w:rPr>
                <w:rFonts w:cs="Arial"/>
                <w:szCs w:val="24"/>
              </w:rPr>
            </w:pPr>
            <w:r>
              <w:rPr>
                <w:rFonts w:cs="Arial"/>
                <w:szCs w:val="24"/>
              </w:rPr>
              <w:t>16</w:t>
            </w:r>
            <w:r w:rsidR="00105B2C">
              <w:rPr>
                <w:rFonts w:cs="Arial"/>
                <w:szCs w:val="24"/>
              </w:rPr>
              <w:t xml:space="preserve"> </w:t>
            </w:r>
            <w:r>
              <w:rPr>
                <w:rFonts w:cs="Arial"/>
                <w:szCs w:val="24"/>
              </w:rPr>
              <w:t>February</w:t>
            </w:r>
            <w:r w:rsidR="00105B2C">
              <w:rPr>
                <w:rFonts w:cs="Arial"/>
                <w:szCs w:val="24"/>
              </w:rPr>
              <w:t xml:space="preserve"> 20</w:t>
            </w:r>
            <w:r w:rsidR="00C90DB3">
              <w:rPr>
                <w:rFonts w:cs="Arial"/>
                <w:szCs w:val="24"/>
              </w:rPr>
              <w:t>1</w:t>
            </w:r>
            <w:r>
              <w:rPr>
                <w:rFonts w:cs="Arial"/>
                <w:szCs w:val="24"/>
              </w:rPr>
              <w:t>7</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B56DAE" w:rsidP="00B56DAE">
            <w:pPr>
              <w:rPr>
                <w:rFonts w:cs="Arial"/>
                <w:szCs w:val="24"/>
              </w:rPr>
            </w:pPr>
            <w:r>
              <w:rPr>
                <w:rFonts w:cs="Arial"/>
                <w:szCs w:val="24"/>
              </w:rPr>
              <w:t xml:space="preserve">Final </w:t>
            </w:r>
            <w:r w:rsidR="00105B2C">
              <w:rPr>
                <w:rFonts w:cs="Arial"/>
                <w:szCs w:val="24"/>
              </w:rPr>
              <w:t xml:space="preserve"> Capital Programme 201</w:t>
            </w:r>
            <w:r w:rsidR="00BB36D9">
              <w:rPr>
                <w:rFonts w:cs="Arial"/>
                <w:szCs w:val="24"/>
              </w:rPr>
              <w:t>7</w:t>
            </w:r>
            <w:r w:rsidR="00105B2C">
              <w:rPr>
                <w:rFonts w:cs="Arial"/>
                <w:szCs w:val="24"/>
              </w:rPr>
              <w:t>/1</w:t>
            </w:r>
            <w:r w:rsidR="00C90DB3">
              <w:rPr>
                <w:rFonts w:cs="Arial"/>
                <w:szCs w:val="24"/>
              </w:rPr>
              <w:t>8</w:t>
            </w:r>
            <w:r w:rsidR="00105B2C">
              <w:rPr>
                <w:rFonts w:cs="Arial"/>
                <w:szCs w:val="24"/>
              </w:rPr>
              <w:t xml:space="preserve"> to 2019/20</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Default="001C7E35" w:rsidP="001C7E35">
            <w:pPr>
              <w:pStyle w:val="Infotext"/>
              <w:rPr>
                <w:rFonts w:cs="Arial"/>
                <w:sz w:val="24"/>
                <w:szCs w:val="24"/>
              </w:rPr>
            </w:pPr>
            <w:r w:rsidRPr="005E3A10">
              <w:rPr>
                <w:rFonts w:cs="Arial"/>
                <w:sz w:val="24"/>
                <w:szCs w:val="24"/>
              </w:rPr>
              <w:t xml:space="preserve">Yes </w:t>
            </w:r>
          </w:p>
          <w:p w:rsidR="00105B2C" w:rsidRPr="005E3A10" w:rsidRDefault="00105B2C" w:rsidP="001C7E35">
            <w:pPr>
              <w:pStyle w:val="Infotext"/>
              <w:rPr>
                <w:rFonts w:cs="Arial"/>
                <w:sz w:val="24"/>
                <w:szCs w:val="24"/>
              </w:rPr>
            </w:pPr>
          </w:p>
          <w:p w:rsidR="00333FAA" w:rsidRPr="005E3A10" w:rsidRDefault="00333FAA" w:rsidP="00105B2C">
            <w:pPr>
              <w:pStyle w:val="Infotext"/>
              <w:rPr>
                <w:rFonts w:cs="Arial"/>
                <w:szCs w:val="24"/>
              </w:rPr>
            </w:pP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05B2C" w:rsidRDefault="00105B2C" w:rsidP="00D835CF">
            <w:pPr>
              <w:pStyle w:val="Infotext"/>
              <w:rPr>
                <w:rFonts w:cs="Arial"/>
                <w:sz w:val="24"/>
                <w:szCs w:val="24"/>
              </w:rPr>
            </w:pPr>
            <w:r>
              <w:rPr>
                <w:rFonts w:cs="Arial"/>
                <w:sz w:val="24"/>
                <w:szCs w:val="24"/>
              </w:rPr>
              <w:t>Dawn Calvert, Director of Finance</w:t>
            </w:r>
          </w:p>
          <w:p w:rsidR="001C7E35" w:rsidRPr="005E3A10" w:rsidRDefault="001C7E35" w:rsidP="00105B2C">
            <w:pPr>
              <w:pStyle w:val="Infotext"/>
              <w:rPr>
                <w:rFonts w:cs="Arial"/>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Pr="005E3A10" w:rsidRDefault="00105B2C">
            <w:pPr>
              <w:pStyle w:val="Infotext"/>
              <w:rPr>
                <w:rFonts w:cs="Arial"/>
                <w:color w:val="FF0000"/>
                <w:sz w:val="24"/>
                <w:szCs w:val="24"/>
              </w:rPr>
            </w:pPr>
            <w:r w:rsidRPr="00105B2C">
              <w:rPr>
                <w:rFonts w:cs="Arial"/>
                <w:sz w:val="24"/>
                <w:szCs w:val="24"/>
              </w:rPr>
              <w:t xml:space="preserve">Councillor </w:t>
            </w:r>
            <w:r w:rsidR="00461E22" w:rsidRPr="00461E22">
              <w:rPr>
                <w:rFonts w:cs="Arial"/>
                <w:sz w:val="24"/>
                <w:szCs w:val="24"/>
              </w:rPr>
              <w:t xml:space="preserve">Adam Swersky, Portfolio Holder for Finance and Commercialisation </w:t>
            </w: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105B2C">
            <w:pPr>
              <w:pStyle w:val="Infotext"/>
              <w:rPr>
                <w:rFonts w:cs="Arial"/>
                <w:color w:val="FF0000"/>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735B7E" w:rsidP="00D835CF">
            <w:pPr>
              <w:pStyle w:val="Infotext"/>
              <w:rPr>
                <w:rFonts w:cs="Arial"/>
                <w:sz w:val="24"/>
                <w:szCs w:val="24"/>
              </w:rPr>
            </w:pPr>
            <w:r>
              <w:rPr>
                <w:rFonts w:cs="Arial"/>
                <w:sz w:val="24"/>
                <w:szCs w:val="24"/>
              </w:rPr>
              <w:t>No, as the decision is reserved to Council</w:t>
            </w:r>
          </w:p>
          <w:p w:rsidR="00714BEE" w:rsidRPr="005E3A10" w:rsidRDefault="00714BEE" w:rsidP="00105B2C">
            <w:pPr>
              <w:rPr>
                <w:rFonts w:cs="Arial"/>
                <w:szCs w:val="24"/>
              </w:rPr>
            </w:pPr>
          </w:p>
        </w:tc>
      </w:tr>
      <w:tr w:rsidR="001C7E35">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5E3A10" w:rsidRDefault="00105B2C" w:rsidP="00D835CF">
            <w:pPr>
              <w:rPr>
                <w:rFonts w:cs="Arial"/>
                <w:szCs w:val="24"/>
              </w:rPr>
            </w:pPr>
            <w:r>
              <w:rPr>
                <w:rFonts w:cs="Arial"/>
                <w:szCs w:val="24"/>
              </w:rPr>
              <w:t>All</w:t>
            </w: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05B2C" w:rsidRDefault="00105B2C" w:rsidP="00105B2C">
            <w:pPr>
              <w:pStyle w:val="Infotext"/>
              <w:rPr>
                <w:rFonts w:cs="Arial"/>
                <w:sz w:val="24"/>
                <w:szCs w:val="24"/>
              </w:rPr>
            </w:pPr>
            <w:r w:rsidRPr="00105B2C">
              <w:rPr>
                <w:rFonts w:cs="Arial"/>
                <w:sz w:val="24"/>
                <w:szCs w:val="24"/>
              </w:rPr>
              <w:t xml:space="preserve">Appendix 1 – </w:t>
            </w:r>
            <w:r w:rsidR="00461E22">
              <w:rPr>
                <w:rFonts w:cs="Arial"/>
                <w:sz w:val="24"/>
                <w:szCs w:val="24"/>
              </w:rPr>
              <w:t xml:space="preserve"> Proposed </w:t>
            </w:r>
            <w:r w:rsidR="003532AB">
              <w:rPr>
                <w:rFonts w:cs="Arial"/>
                <w:sz w:val="24"/>
                <w:szCs w:val="24"/>
              </w:rPr>
              <w:t xml:space="preserve"> </w:t>
            </w:r>
            <w:r w:rsidR="00461E22">
              <w:rPr>
                <w:rFonts w:cs="Arial"/>
                <w:sz w:val="24"/>
                <w:szCs w:val="24"/>
              </w:rPr>
              <w:t>Capital</w:t>
            </w:r>
            <w:r w:rsidRPr="00105B2C">
              <w:rPr>
                <w:rFonts w:cs="Arial"/>
                <w:sz w:val="24"/>
                <w:szCs w:val="24"/>
              </w:rPr>
              <w:t xml:space="preserve"> Programme</w:t>
            </w:r>
            <w:r w:rsidR="00E23647">
              <w:rPr>
                <w:rFonts w:cs="Arial"/>
                <w:sz w:val="24"/>
                <w:szCs w:val="24"/>
              </w:rPr>
              <w:t xml:space="preserve"> 2017/18 to 2019/20</w:t>
            </w:r>
          </w:p>
          <w:p w:rsidR="00E23647" w:rsidRPr="00105B2C" w:rsidRDefault="00E23647" w:rsidP="00105B2C">
            <w:pPr>
              <w:pStyle w:val="Infotext"/>
              <w:rPr>
                <w:rFonts w:cs="Arial"/>
                <w:sz w:val="24"/>
                <w:szCs w:val="24"/>
              </w:rPr>
            </w:pPr>
          </w:p>
          <w:p w:rsidR="005B32A5" w:rsidRDefault="00105B2C" w:rsidP="00105B2C">
            <w:pPr>
              <w:pStyle w:val="Infotext"/>
              <w:rPr>
                <w:rFonts w:cs="Arial"/>
                <w:sz w:val="24"/>
                <w:szCs w:val="24"/>
              </w:rPr>
            </w:pPr>
            <w:r w:rsidRPr="00105B2C">
              <w:rPr>
                <w:rFonts w:cs="Arial"/>
                <w:sz w:val="24"/>
                <w:szCs w:val="24"/>
              </w:rPr>
              <w:t xml:space="preserve">Appendix 2 – </w:t>
            </w:r>
            <w:r w:rsidR="00A64DDF">
              <w:rPr>
                <w:rFonts w:cs="Arial"/>
                <w:sz w:val="24"/>
                <w:szCs w:val="24"/>
              </w:rPr>
              <w:t xml:space="preserve">New capital additions (included within Appendix 1) </w:t>
            </w:r>
            <w:r w:rsidR="003532AB">
              <w:rPr>
                <w:rFonts w:cs="Arial"/>
                <w:sz w:val="24"/>
                <w:szCs w:val="24"/>
              </w:rPr>
              <w:t xml:space="preserve">2017/18 to </w:t>
            </w:r>
            <w:r w:rsidR="00FA1D36">
              <w:rPr>
                <w:rFonts w:cs="Arial"/>
                <w:sz w:val="24"/>
                <w:szCs w:val="24"/>
              </w:rPr>
              <w:t xml:space="preserve"> 2019/20</w:t>
            </w:r>
          </w:p>
          <w:p w:rsidR="00D27997" w:rsidRPr="005E3A10" w:rsidRDefault="00D27997" w:rsidP="00105B2C">
            <w:pPr>
              <w:pStyle w:val="Infotext"/>
              <w:rPr>
                <w:color w:val="FF0000"/>
                <w:sz w:val="24"/>
                <w:szCs w:val="24"/>
              </w:rPr>
            </w:pP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lastRenderedPageBreak/>
              <w:t>Section 1 – Summary and Recommendations</w:t>
            </w:r>
          </w:p>
          <w:p w:rsidR="00333FAA" w:rsidRDefault="00333FAA" w:rsidP="00A53B04"/>
        </w:tc>
      </w:tr>
      <w:tr w:rsidR="00333FAA">
        <w:tc>
          <w:tcPr>
            <w:tcW w:w="8525" w:type="dxa"/>
          </w:tcPr>
          <w:p w:rsidR="00333FAA" w:rsidRDefault="00333FAA" w:rsidP="00A53B04"/>
          <w:p w:rsidR="00105B2C" w:rsidRPr="00830C10" w:rsidRDefault="00105B2C" w:rsidP="00105B2C">
            <w:pPr>
              <w:rPr>
                <w:color w:val="0000FF"/>
              </w:rPr>
            </w:pPr>
            <w:r w:rsidRPr="00830C10">
              <w:rPr>
                <w:rFonts w:cs="Arial"/>
                <w:szCs w:val="24"/>
              </w:rPr>
              <w:t xml:space="preserve">This report sets out the </w:t>
            </w:r>
            <w:r w:rsidR="00A64DDF">
              <w:rPr>
                <w:rFonts w:cs="Arial"/>
                <w:szCs w:val="24"/>
              </w:rPr>
              <w:t>proposed C</w:t>
            </w:r>
            <w:r w:rsidR="00B57442">
              <w:rPr>
                <w:rFonts w:cs="Arial"/>
                <w:szCs w:val="24"/>
              </w:rPr>
              <w:t xml:space="preserve">apital </w:t>
            </w:r>
            <w:r w:rsidR="009D4BC8">
              <w:rPr>
                <w:rFonts w:cs="Arial"/>
                <w:szCs w:val="24"/>
              </w:rPr>
              <w:t>programme</w:t>
            </w:r>
            <w:r w:rsidR="00A64DDF">
              <w:rPr>
                <w:rFonts w:cs="Arial"/>
                <w:szCs w:val="24"/>
              </w:rPr>
              <w:t xml:space="preserve"> for </w:t>
            </w:r>
            <w:r w:rsidR="00EB6285">
              <w:rPr>
                <w:rFonts w:cs="Arial"/>
                <w:szCs w:val="24"/>
              </w:rPr>
              <w:t xml:space="preserve">the financial years </w:t>
            </w:r>
            <w:r w:rsidR="00A64DDF">
              <w:rPr>
                <w:rFonts w:cs="Arial"/>
                <w:szCs w:val="24"/>
              </w:rPr>
              <w:t xml:space="preserve">2017/18 to 2019/20 </w:t>
            </w:r>
          </w:p>
          <w:p w:rsidR="00105B2C" w:rsidRPr="00830C10" w:rsidRDefault="00105B2C" w:rsidP="00105B2C">
            <w:pPr>
              <w:pStyle w:val="Heading2"/>
            </w:pPr>
          </w:p>
          <w:p w:rsidR="00105B2C" w:rsidRPr="00830C10" w:rsidRDefault="00105B2C" w:rsidP="00105B2C">
            <w:pPr>
              <w:pStyle w:val="Heading2"/>
            </w:pPr>
            <w:r w:rsidRPr="00830C10">
              <w:t xml:space="preserve">Recommendations: </w:t>
            </w:r>
          </w:p>
          <w:p w:rsidR="009D4BC8" w:rsidRDefault="00105B2C" w:rsidP="00C64714">
            <w:pPr>
              <w:pStyle w:val="ListParagraph"/>
              <w:numPr>
                <w:ilvl w:val="0"/>
                <w:numId w:val="38"/>
              </w:numPr>
              <w:rPr>
                <w:rFonts w:cs="Arial"/>
                <w:szCs w:val="24"/>
              </w:rPr>
            </w:pPr>
            <w:r w:rsidRPr="00830C10">
              <w:t xml:space="preserve">Cabinet is requested </w:t>
            </w:r>
            <w:r w:rsidR="00A64DDF">
              <w:rPr>
                <w:rFonts w:cs="Arial"/>
                <w:szCs w:val="24"/>
              </w:rPr>
              <w:t xml:space="preserve"> to recommend the capital programme, as detailed within Appendix 1</w:t>
            </w:r>
            <w:r w:rsidRPr="009D4BC8">
              <w:rPr>
                <w:rFonts w:cs="Arial"/>
                <w:szCs w:val="24"/>
              </w:rPr>
              <w:t>,</w:t>
            </w:r>
            <w:r w:rsidR="00A64DDF">
              <w:rPr>
                <w:rFonts w:cs="Arial"/>
                <w:szCs w:val="24"/>
              </w:rPr>
              <w:t xml:space="preserve"> to Council for approval</w:t>
            </w:r>
            <w:r w:rsidRPr="009D4BC8">
              <w:rPr>
                <w:rFonts w:cs="Arial"/>
                <w:szCs w:val="24"/>
              </w:rPr>
              <w:t xml:space="preserve"> </w:t>
            </w:r>
          </w:p>
          <w:p w:rsidR="009D4BC8" w:rsidRDefault="009D4BC8" w:rsidP="00C64714">
            <w:pPr>
              <w:pStyle w:val="ListParagraph"/>
              <w:rPr>
                <w:rFonts w:cs="Arial"/>
                <w:szCs w:val="24"/>
              </w:rPr>
            </w:pPr>
          </w:p>
          <w:p w:rsidR="00333FAA" w:rsidRDefault="00105B2C" w:rsidP="00253BB4">
            <w:pPr>
              <w:pStyle w:val="Heading2"/>
            </w:pPr>
            <w:r w:rsidRPr="00830C10">
              <w:t xml:space="preserve">Reason:  </w:t>
            </w:r>
            <w:r w:rsidRPr="00830C10">
              <w:rPr>
                <w:b w:val="0"/>
                <w:sz w:val="24"/>
                <w:szCs w:val="24"/>
              </w:rPr>
              <w:t xml:space="preserve">To enable the Council to have an approved capital programme for </w:t>
            </w:r>
            <w:r w:rsidR="00EB6285">
              <w:rPr>
                <w:b w:val="0"/>
                <w:sz w:val="24"/>
                <w:szCs w:val="24"/>
              </w:rPr>
              <w:t xml:space="preserve">the period </w:t>
            </w:r>
            <w:r w:rsidRPr="00830C10">
              <w:rPr>
                <w:b w:val="0"/>
                <w:sz w:val="24"/>
                <w:szCs w:val="24"/>
              </w:rPr>
              <w:t>20</w:t>
            </w:r>
            <w:r>
              <w:rPr>
                <w:b w:val="0"/>
                <w:sz w:val="24"/>
                <w:szCs w:val="24"/>
              </w:rPr>
              <w:t>1</w:t>
            </w:r>
            <w:r w:rsidR="002478C4">
              <w:rPr>
                <w:b w:val="0"/>
                <w:sz w:val="24"/>
                <w:szCs w:val="24"/>
              </w:rPr>
              <w:t>7</w:t>
            </w:r>
            <w:r w:rsidR="00B4220B">
              <w:rPr>
                <w:b w:val="0"/>
                <w:sz w:val="24"/>
                <w:szCs w:val="24"/>
              </w:rPr>
              <w:t>/18</w:t>
            </w:r>
            <w:r w:rsidRPr="00830C10">
              <w:rPr>
                <w:b w:val="0"/>
                <w:sz w:val="24"/>
                <w:szCs w:val="24"/>
              </w:rPr>
              <w:t xml:space="preserve"> </w:t>
            </w:r>
            <w:r>
              <w:rPr>
                <w:b w:val="0"/>
                <w:sz w:val="24"/>
                <w:szCs w:val="24"/>
              </w:rPr>
              <w:t>to 201</w:t>
            </w:r>
            <w:r w:rsidR="002478C4">
              <w:rPr>
                <w:b w:val="0"/>
                <w:sz w:val="24"/>
                <w:szCs w:val="24"/>
              </w:rPr>
              <w:t>9</w:t>
            </w:r>
            <w:r>
              <w:rPr>
                <w:b w:val="0"/>
                <w:sz w:val="24"/>
                <w:szCs w:val="24"/>
              </w:rPr>
              <w:t>/</w:t>
            </w:r>
            <w:r w:rsidR="002478C4">
              <w:rPr>
                <w:b w:val="0"/>
                <w:sz w:val="24"/>
                <w:szCs w:val="24"/>
              </w:rPr>
              <w:t>20</w:t>
            </w:r>
            <w:r w:rsidR="003E097B">
              <w:rPr>
                <w:b w:val="0"/>
                <w:sz w:val="24"/>
                <w:szCs w:val="24"/>
              </w:rPr>
              <w:t>.</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5867D6" w:rsidRDefault="005867D6" w:rsidP="00105B2C">
      <w:pPr>
        <w:jc w:val="both"/>
        <w:rPr>
          <w:rFonts w:cs="Arial"/>
          <w:szCs w:val="24"/>
          <w:u w:val="single"/>
        </w:rPr>
      </w:pPr>
    </w:p>
    <w:p w:rsidR="00105B2C" w:rsidRPr="000C14C9" w:rsidRDefault="00105B2C" w:rsidP="005867D6">
      <w:pPr>
        <w:ind w:firstLine="567"/>
        <w:jc w:val="both"/>
        <w:rPr>
          <w:rFonts w:cs="Arial"/>
          <w:b/>
          <w:szCs w:val="24"/>
        </w:rPr>
      </w:pPr>
      <w:r w:rsidRPr="000C14C9">
        <w:rPr>
          <w:rFonts w:cs="Arial"/>
          <w:b/>
          <w:szCs w:val="24"/>
        </w:rPr>
        <w:t>Development of the Capital Programme</w:t>
      </w:r>
    </w:p>
    <w:p w:rsidR="00A64DDF" w:rsidRDefault="0008612D" w:rsidP="00FF590B">
      <w:pPr>
        <w:numPr>
          <w:ilvl w:val="0"/>
          <w:numId w:val="27"/>
        </w:numPr>
        <w:tabs>
          <w:tab w:val="clear" w:pos="360"/>
          <w:tab w:val="num" w:pos="1276"/>
        </w:tabs>
        <w:spacing w:after="120"/>
        <w:ind w:left="567" w:hanging="567"/>
        <w:jc w:val="both"/>
        <w:rPr>
          <w:rFonts w:cs="Arial"/>
          <w:szCs w:val="24"/>
        </w:rPr>
      </w:pPr>
      <w:r w:rsidRPr="00B14937">
        <w:rPr>
          <w:rFonts w:cs="Arial"/>
          <w:szCs w:val="24"/>
        </w:rPr>
        <w:t>Th</w:t>
      </w:r>
      <w:r w:rsidR="00A64DDF">
        <w:rPr>
          <w:rFonts w:cs="Arial"/>
          <w:szCs w:val="24"/>
        </w:rPr>
        <w:t xml:space="preserve">is report sets out the Council’s proposals for Capital investment over the period 2017/18 to 2019/20.  These provide for very </w:t>
      </w:r>
      <w:r w:rsidR="007B7A26">
        <w:rPr>
          <w:rFonts w:cs="Arial"/>
          <w:szCs w:val="24"/>
        </w:rPr>
        <w:t>substantial investment</w:t>
      </w:r>
      <w:r w:rsidR="00A64DDF">
        <w:rPr>
          <w:rFonts w:cs="Arial"/>
          <w:szCs w:val="24"/>
        </w:rPr>
        <w:t xml:space="preserve"> over the next 3 years in the General fund and Housing Revenue Account.</w:t>
      </w:r>
    </w:p>
    <w:p w:rsidR="0008612D" w:rsidRPr="00B14937" w:rsidRDefault="00A64DDF" w:rsidP="00FF590B">
      <w:pPr>
        <w:numPr>
          <w:ilvl w:val="0"/>
          <w:numId w:val="27"/>
        </w:numPr>
        <w:tabs>
          <w:tab w:val="clear" w:pos="360"/>
          <w:tab w:val="num" w:pos="1276"/>
        </w:tabs>
        <w:spacing w:after="120"/>
        <w:ind w:left="567" w:hanging="567"/>
        <w:jc w:val="both"/>
        <w:rPr>
          <w:rFonts w:cs="Arial"/>
          <w:szCs w:val="24"/>
        </w:rPr>
      </w:pPr>
      <w:r>
        <w:rPr>
          <w:rFonts w:cs="Arial"/>
          <w:szCs w:val="24"/>
        </w:rPr>
        <w:t xml:space="preserve">The proposed Capital Programme has been prepared in the current climate of increased demand pressures and reduced external funding from Central Government. </w:t>
      </w:r>
    </w:p>
    <w:p w:rsidR="00105B2C" w:rsidRDefault="00105B2C" w:rsidP="00105B2C">
      <w:pPr>
        <w:numPr>
          <w:ilvl w:val="0"/>
          <w:numId w:val="27"/>
        </w:numPr>
        <w:tabs>
          <w:tab w:val="clear" w:pos="360"/>
          <w:tab w:val="num" w:pos="567"/>
          <w:tab w:val="num" w:pos="1985"/>
        </w:tabs>
        <w:ind w:left="567" w:hanging="567"/>
        <w:jc w:val="both"/>
        <w:rPr>
          <w:rFonts w:cs="Arial"/>
          <w:szCs w:val="24"/>
        </w:rPr>
      </w:pPr>
      <w:r w:rsidRPr="00DE6A36">
        <w:rPr>
          <w:rFonts w:cs="Arial"/>
          <w:szCs w:val="24"/>
        </w:rPr>
        <w:t>Service directorates were invited to bid for capital resources, as part of their service proposals for 201</w:t>
      </w:r>
      <w:r w:rsidR="008916DC" w:rsidRPr="00DE6A36">
        <w:rPr>
          <w:rFonts w:cs="Arial"/>
          <w:szCs w:val="24"/>
        </w:rPr>
        <w:t>7</w:t>
      </w:r>
      <w:r w:rsidR="00D90A37" w:rsidRPr="00DE6A36">
        <w:rPr>
          <w:rFonts w:cs="Arial"/>
          <w:szCs w:val="24"/>
        </w:rPr>
        <w:t>/18</w:t>
      </w:r>
      <w:r w:rsidR="008916DC" w:rsidRPr="00DE6A36">
        <w:rPr>
          <w:rFonts w:cs="Arial"/>
          <w:szCs w:val="24"/>
        </w:rPr>
        <w:t xml:space="preserve"> to 2019</w:t>
      </w:r>
      <w:r w:rsidRPr="00DE6A36">
        <w:rPr>
          <w:rFonts w:cs="Arial"/>
          <w:szCs w:val="24"/>
        </w:rPr>
        <w:t>/</w:t>
      </w:r>
      <w:r w:rsidR="008916DC" w:rsidRPr="00DE6A36">
        <w:rPr>
          <w:rFonts w:cs="Arial"/>
          <w:szCs w:val="24"/>
        </w:rPr>
        <w:t>20</w:t>
      </w:r>
      <w:r w:rsidRPr="00DE6A36">
        <w:rPr>
          <w:rFonts w:cs="Arial"/>
          <w:szCs w:val="24"/>
        </w:rPr>
        <w:t xml:space="preserve">.  The proposals were </w:t>
      </w:r>
      <w:r w:rsidR="00D90A37" w:rsidRPr="00DE6A36">
        <w:rPr>
          <w:rFonts w:cs="Arial"/>
          <w:szCs w:val="24"/>
        </w:rPr>
        <w:t>review</w:t>
      </w:r>
      <w:r w:rsidR="00DE6A36" w:rsidRPr="00DE6A36">
        <w:rPr>
          <w:rFonts w:cs="Arial"/>
          <w:szCs w:val="24"/>
        </w:rPr>
        <w:t>ed</w:t>
      </w:r>
      <w:r w:rsidRPr="00DE6A36">
        <w:rPr>
          <w:rFonts w:cs="Arial"/>
          <w:szCs w:val="24"/>
        </w:rPr>
        <w:t xml:space="preserve"> tak</w:t>
      </w:r>
      <w:r w:rsidR="00D90A37" w:rsidRPr="00DE6A36">
        <w:rPr>
          <w:rFonts w:cs="Arial"/>
          <w:szCs w:val="24"/>
        </w:rPr>
        <w:t>ing into</w:t>
      </w:r>
      <w:r w:rsidRPr="00DE6A36">
        <w:rPr>
          <w:rFonts w:cs="Arial"/>
          <w:szCs w:val="24"/>
        </w:rPr>
        <w:t xml:space="preserve"> account</w:t>
      </w:r>
      <w:r w:rsidR="00E21E6B" w:rsidRPr="00DE6A36">
        <w:rPr>
          <w:rFonts w:cs="Arial"/>
          <w:szCs w:val="24"/>
        </w:rPr>
        <w:t xml:space="preserve"> </w:t>
      </w:r>
      <w:r w:rsidR="00DE6A36" w:rsidRPr="00DE6A36">
        <w:rPr>
          <w:rFonts w:cs="Arial"/>
          <w:szCs w:val="24"/>
        </w:rPr>
        <w:t xml:space="preserve">the </w:t>
      </w:r>
      <w:r w:rsidR="0017619C" w:rsidRPr="00DE6A36">
        <w:rPr>
          <w:rFonts w:cs="Arial"/>
          <w:szCs w:val="24"/>
        </w:rPr>
        <w:t>council</w:t>
      </w:r>
      <w:r w:rsidR="00DE6A36" w:rsidRPr="00DE6A36">
        <w:rPr>
          <w:rFonts w:cs="Arial"/>
          <w:szCs w:val="24"/>
        </w:rPr>
        <w:t>’s</w:t>
      </w:r>
      <w:r w:rsidR="00E21E6B" w:rsidRPr="00DE6A36">
        <w:rPr>
          <w:rFonts w:cs="Arial"/>
          <w:szCs w:val="24"/>
        </w:rPr>
        <w:t xml:space="preserve"> strategic vision </w:t>
      </w:r>
      <w:r w:rsidR="00E21E6B" w:rsidRPr="007C49E5">
        <w:rPr>
          <w:rFonts w:cs="Arial"/>
          <w:szCs w:val="24"/>
        </w:rPr>
        <w:t>of “Working together to make a difference for Harrow”</w:t>
      </w:r>
      <w:r w:rsidR="00DE6A36" w:rsidRPr="007C49E5">
        <w:rPr>
          <w:rFonts w:cs="Arial"/>
          <w:szCs w:val="24"/>
        </w:rPr>
        <w:t xml:space="preserve">, the </w:t>
      </w:r>
      <w:r w:rsidR="00E21E6B" w:rsidRPr="00DE6A36">
        <w:rPr>
          <w:rFonts w:cs="Arial"/>
          <w:szCs w:val="24"/>
        </w:rPr>
        <w:t>C</w:t>
      </w:r>
      <w:r w:rsidR="0017619C" w:rsidRPr="00DE6A36">
        <w:rPr>
          <w:rFonts w:cs="Arial"/>
          <w:szCs w:val="24"/>
        </w:rPr>
        <w:t>ou</w:t>
      </w:r>
      <w:r w:rsidRPr="00DE6A36">
        <w:rPr>
          <w:rFonts w:cs="Arial"/>
          <w:szCs w:val="24"/>
        </w:rPr>
        <w:t>ncil</w:t>
      </w:r>
      <w:r w:rsidR="00DE6A36" w:rsidRPr="00DE6A36">
        <w:rPr>
          <w:rFonts w:cs="Arial"/>
          <w:szCs w:val="24"/>
        </w:rPr>
        <w:t>’s</w:t>
      </w:r>
      <w:r w:rsidRPr="00DE6A36">
        <w:rPr>
          <w:rFonts w:cs="Arial"/>
          <w:szCs w:val="24"/>
        </w:rPr>
        <w:t xml:space="preserve"> </w:t>
      </w:r>
      <w:r w:rsidR="00DE6A36" w:rsidRPr="00DE6A36">
        <w:rPr>
          <w:rFonts w:cs="Arial"/>
          <w:szCs w:val="24"/>
        </w:rPr>
        <w:t>p</w:t>
      </w:r>
      <w:r w:rsidRPr="00DE6A36">
        <w:rPr>
          <w:rFonts w:cs="Arial"/>
          <w:szCs w:val="24"/>
        </w:rPr>
        <w:t xml:space="preserve">riorities and equalities </w:t>
      </w:r>
      <w:r w:rsidR="00EB6285">
        <w:rPr>
          <w:rFonts w:cs="Arial"/>
          <w:szCs w:val="24"/>
        </w:rPr>
        <w:t>and</w:t>
      </w:r>
      <w:r w:rsidRPr="00DE6A36">
        <w:rPr>
          <w:rFonts w:cs="Arial"/>
          <w:szCs w:val="24"/>
        </w:rPr>
        <w:t xml:space="preserve"> other statutory duties</w:t>
      </w:r>
      <w:r w:rsidR="00DE6A36" w:rsidRPr="00DE6A36">
        <w:rPr>
          <w:rFonts w:cs="Arial"/>
          <w:szCs w:val="24"/>
        </w:rPr>
        <w:t>.</w:t>
      </w:r>
      <w:r w:rsidRPr="00DE6A36">
        <w:rPr>
          <w:rFonts w:cs="Arial"/>
          <w:szCs w:val="24"/>
        </w:rPr>
        <w:t xml:space="preserve"> </w:t>
      </w:r>
    </w:p>
    <w:p w:rsidR="00DE6A36" w:rsidRPr="00DE6A36" w:rsidRDefault="00DE6A36" w:rsidP="00DE6A36">
      <w:pPr>
        <w:tabs>
          <w:tab w:val="num" w:pos="1985"/>
        </w:tabs>
        <w:ind w:left="567"/>
        <w:jc w:val="both"/>
        <w:rPr>
          <w:rFonts w:cs="Arial"/>
          <w:szCs w:val="24"/>
        </w:rPr>
      </w:pPr>
    </w:p>
    <w:p w:rsidR="00105B2C" w:rsidRPr="00105B2C" w:rsidRDefault="007F4BDA"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In addition to reduced external funding</w:t>
      </w:r>
      <w:r w:rsidR="008D49CA">
        <w:rPr>
          <w:rFonts w:cs="Arial"/>
          <w:szCs w:val="24"/>
        </w:rPr>
        <w:t xml:space="preserve"> from grants </w:t>
      </w:r>
      <w:proofErr w:type="spellStart"/>
      <w:r w:rsidR="008D49CA">
        <w:rPr>
          <w:rFonts w:cs="Arial"/>
          <w:szCs w:val="24"/>
        </w:rPr>
        <w:t>etc</w:t>
      </w:r>
      <w:proofErr w:type="spellEnd"/>
      <w:r w:rsidR="00105B2C" w:rsidRPr="00105B2C">
        <w:rPr>
          <w:rFonts w:cs="Arial"/>
          <w:szCs w:val="24"/>
        </w:rPr>
        <w:t>, flexibility in the capital programme is also constrained by a number of factors:</w:t>
      </w:r>
    </w:p>
    <w:p w:rsidR="00105B2C" w:rsidRPr="00105B2C" w:rsidRDefault="00105B2C" w:rsidP="00105B2C">
      <w:pPr>
        <w:numPr>
          <w:ilvl w:val="1"/>
          <w:numId w:val="27"/>
        </w:numPr>
        <w:tabs>
          <w:tab w:val="num" w:pos="2160"/>
        </w:tabs>
        <w:spacing w:after="120"/>
        <w:ind w:left="1434" w:hanging="357"/>
        <w:jc w:val="both"/>
        <w:rPr>
          <w:rFonts w:cs="Arial"/>
          <w:szCs w:val="24"/>
        </w:rPr>
      </w:pPr>
      <w:r w:rsidRPr="00105B2C">
        <w:rPr>
          <w:rFonts w:cs="Arial"/>
          <w:szCs w:val="24"/>
        </w:rPr>
        <w:t xml:space="preserve">Unavoidable spending requirements such as the need to provide school places for the increasing school </w:t>
      </w:r>
      <w:r w:rsidR="008D49CA">
        <w:rPr>
          <w:rFonts w:cs="Arial"/>
          <w:szCs w:val="24"/>
        </w:rPr>
        <w:t xml:space="preserve">age </w:t>
      </w:r>
      <w:r w:rsidRPr="00105B2C">
        <w:rPr>
          <w:rFonts w:cs="Arial"/>
          <w:szCs w:val="24"/>
        </w:rPr>
        <w:t>population</w:t>
      </w:r>
      <w:proofErr w:type="gramStart"/>
      <w:r w:rsidR="00EB6285">
        <w:rPr>
          <w:rFonts w:cs="Arial"/>
          <w:szCs w:val="24"/>
        </w:rPr>
        <w:t xml:space="preserve">, </w:t>
      </w:r>
      <w:r w:rsidRPr="00105B2C">
        <w:rPr>
          <w:rFonts w:cs="Arial"/>
          <w:szCs w:val="24"/>
        </w:rPr>
        <w:t xml:space="preserve"> major</w:t>
      </w:r>
      <w:proofErr w:type="gramEnd"/>
      <w:r w:rsidRPr="00105B2C">
        <w:rPr>
          <w:rFonts w:cs="Arial"/>
          <w:szCs w:val="24"/>
        </w:rPr>
        <w:t xml:space="preserve"> repairs to the Council’s buildings and carriageway and footway resurfacing.</w:t>
      </w:r>
    </w:p>
    <w:p w:rsidR="00105B2C" w:rsidRPr="00105B2C" w:rsidRDefault="00105B2C" w:rsidP="00105B2C">
      <w:pPr>
        <w:numPr>
          <w:ilvl w:val="1"/>
          <w:numId w:val="27"/>
        </w:numPr>
        <w:tabs>
          <w:tab w:val="num" w:pos="2160"/>
        </w:tabs>
        <w:spacing w:after="120"/>
        <w:ind w:left="1434" w:hanging="357"/>
        <w:jc w:val="both"/>
        <w:rPr>
          <w:rFonts w:cs="Arial"/>
          <w:szCs w:val="24"/>
        </w:rPr>
      </w:pPr>
      <w:r w:rsidRPr="00105B2C">
        <w:rPr>
          <w:rFonts w:cs="Arial"/>
          <w:szCs w:val="24"/>
        </w:rPr>
        <w:t>Restrictions in the way funding can be used e.g. ring fenced funding such as Transport for London and</w:t>
      </w:r>
      <w:r w:rsidR="00EB6285">
        <w:rPr>
          <w:rFonts w:cs="Arial"/>
          <w:szCs w:val="24"/>
        </w:rPr>
        <w:t xml:space="preserve"> the</w:t>
      </w:r>
      <w:r w:rsidRPr="00105B2C">
        <w:rPr>
          <w:rFonts w:cs="Arial"/>
          <w:szCs w:val="24"/>
        </w:rPr>
        <w:t xml:space="preserve"> D</w:t>
      </w:r>
      <w:r w:rsidR="00EB6285">
        <w:rPr>
          <w:rFonts w:cs="Arial"/>
          <w:szCs w:val="24"/>
        </w:rPr>
        <w:t>epartment o</w:t>
      </w:r>
      <w:r w:rsidRPr="00105B2C">
        <w:rPr>
          <w:rFonts w:cs="Arial"/>
          <w:szCs w:val="24"/>
        </w:rPr>
        <w:t>f</w:t>
      </w:r>
      <w:r w:rsidR="00EB6285">
        <w:rPr>
          <w:rFonts w:cs="Arial"/>
          <w:szCs w:val="24"/>
        </w:rPr>
        <w:t xml:space="preserve"> </w:t>
      </w:r>
      <w:r w:rsidRPr="00105B2C">
        <w:rPr>
          <w:rFonts w:cs="Arial"/>
          <w:szCs w:val="24"/>
        </w:rPr>
        <w:t>E</w:t>
      </w:r>
      <w:r w:rsidR="00EB6285">
        <w:rPr>
          <w:rFonts w:cs="Arial"/>
          <w:szCs w:val="24"/>
        </w:rPr>
        <w:t>ducation</w:t>
      </w:r>
      <w:r w:rsidRPr="00105B2C">
        <w:rPr>
          <w:rFonts w:cs="Arial"/>
          <w:szCs w:val="24"/>
        </w:rPr>
        <w:t xml:space="preserve"> grants for schools.</w:t>
      </w:r>
    </w:p>
    <w:p w:rsidR="00BC3849" w:rsidRPr="006D0A1B" w:rsidRDefault="00105B2C" w:rsidP="00105B2C">
      <w:pPr>
        <w:numPr>
          <w:ilvl w:val="1"/>
          <w:numId w:val="27"/>
        </w:numPr>
        <w:rPr>
          <w:sz w:val="28"/>
        </w:rPr>
      </w:pPr>
      <w:r w:rsidRPr="00105B2C">
        <w:rPr>
          <w:rFonts w:cs="Arial"/>
          <w:szCs w:val="24"/>
        </w:rPr>
        <w:t>A limited capacity to fund borrowing. Although there are no specific limits to borrowing in order to fund capital expenditure, since the introduction of the prudential borrowing framework, Councils must however consider the revenue implications in the context of the overall revenue budget commitments in the medium term</w:t>
      </w:r>
      <w:r w:rsidR="008D49CA">
        <w:rPr>
          <w:rFonts w:cs="Arial"/>
          <w:szCs w:val="24"/>
        </w:rPr>
        <w:t xml:space="preserve"> and the Capital Programme </w:t>
      </w:r>
      <w:r w:rsidRPr="00105B2C">
        <w:rPr>
          <w:rFonts w:cs="Arial"/>
          <w:szCs w:val="24"/>
        </w:rPr>
        <w:t xml:space="preserve">must be affordable. </w:t>
      </w:r>
    </w:p>
    <w:p w:rsidR="00BC3849" w:rsidRPr="006D0A1B" w:rsidRDefault="00BC3849" w:rsidP="006D0A1B">
      <w:pPr>
        <w:ind w:left="1440"/>
        <w:rPr>
          <w:sz w:val="28"/>
        </w:rPr>
      </w:pPr>
    </w:p>
    <w:p w:rsidR="00BC3849" w:rsidRDefault="00BC3849" w:rsidP="006D0A1B">
      <w:pPr>
        <w:numPr>
          <w:ilvl w:val="0"/>
          <w:numId w:val="27"/>
        </w:numPr>
        <w:rPr>
          <w:rFonts w:cs="Arial"/>
          <w:szCs w:val="24"/>
        </w:rPr>
      </w:pPr>
      <w:r>
        <w:rPr>
          <w:rFonts w:cs="Arial"/>
          <w:szCs w:val="24"/>
        </w:rPr>
        <w:t>Capital proposals were considered against the following criteria:</w:t>
      </w:r>
    </w:p>
    <w:p w:rsidR="00BC3849" w:rsidRDefault="00BC3849" w:rsidP="006D0A1B">
      <w:pPr>
        <w:ind w:left="360"/>
        <w:rPr>
          <w:rFonts w:cs="Arial"/>
          <w:szCs w:val="24"/>
        </w:rPr>
      </w:pPr>
    </w:p>
    <w:p w:rsidR="00BC3849" w:rsidRPr="006D0A1B" w:rsidRDefault="00BC3849" w:rsidP="006D0A1B">
      <w:pPr>
        <w:pStyle w:val="PlainText"/>
        <w:numPr>
          <w:ilvl w:val="0"/>
          <w:numId w:val="39"/>
        </w:numPr>
        <w:rPr>
          <w:rFonts w:ascii="Arial" w:eastAsia="Times New Roman" w:hAnsi="Arial" w:cs="Arial"/>
          <w:sz w:val="24"/>
          <w:szCs w:val="24"/>
        </w:rPr>
      </w:pPr>
      <w:r w:rsidRPr="006D0A1B">
        <w:rPr>
          <w:rFonts w:ascii="Arial" w:eastAsia="Times New Roman" w:hAnsi="Arial" w:cs="Arial"/>
          <w:sz w:val="24"/>
          <w:szCs w:val="24"/>
        </w:rPr>
        <w:t xml:space="preserve">The </w:t>
      </w:r>
      <w:r w:rsidR="008B2D4F">
        <w:rPr>
          <w:rFonts w:ascii="Arial" w:eastAsia="Times New Roman" w:hAnsi="Arial" w:cs="Arial"/>
          <w:sz w:val="24"/>
          <w:szCs w:val="24"/>
        </w:rPr>
        <w:t xml:space="preserve">proposal </w:t>
      </w:r>
      <w:r w:rsidRPr="006D0A1B">
        <w:rPr>
          <w:rFonts w:ascii="Arial" w:eastAsia="Times New Roman" w:hAnsi="Arial" w:cs="Arial"/>
          <w:sz w:val="24"/>
          <w:szCs w:val="24"/>
        </w:rPr>
        <w:t>is required for evidenced legislative or regulatory reasons</w:t>
      </w:r>
    </w:p>
    <w:p w:rsidR="00BC3849" w:rsidRPr="006D0A1B" w:rsidRDefault="00BC3849" w:rsidP="006D0A1B">
      <w:pPr>
        <w:pStyle w:val="PlainText"/>
        <w:ind w:left="360"/>
        <w:rPr>
          <w:rFonts w:ascii="Arial" w:eastAsia="Times New Roman" w:hAnsi="Arial" w:cs="Arial"/>
          <w:sz w:val="24"/>
          <w:szCs w:val="24"/>
        </w:rPr>
      </w:pPr>
    </w:p>
    <w:p w:rsidR="00BC3849" w:rsidRPr="006D0A1B" w:rsidRDefault="00BC3849" w:rsidP="006D0A1B">
      <w:pPr>
        <w:pStyle w:val="PlainText"/>
        <w:numPr>
          <w:ilvl w:val="0"/>
          <w:numId w:val="39"/>
        </w:numPr>
        <w:rPr>
          <w:rFonts w:ascii="Arial" w:eastAsia="Times New Roman" w:hAnsi="Arial" w:cs="Arial"/>
          <w:sz w:val="24"/>
          <w:szCs w:val="24"/>
        </w:rPr>
      </w:pPr>
      <w:r w:rsidRPr="006D0A1B">
        <w:rPr>
          <w:rFonts w:ascii="Arial" w:eastAsia="Times New Roman" w:hAnsi="Arial" w:cs="Arial"/>
          <w:sz w:val="24"/>
          <w:szCs w:val="24"/>
        </w:rPr>
        <w:t xml:space="preserve">The </w:t>
      </w:r>
      <w:r w:rsidR="008B2D4F">
        <w:rPr>
          <w:rFonts w:ascii="Arial" w:eastAsia="Times New Roman" w:hAnsi="Arial" w:cs="Arial"/>
          <w:sz w:val="24"/>
          <w:szCs w:val="24"/>
        </w:rPr>
        <w:t>proposal</w:t>
      </w:r>
      <w:r w:rsidRPr="006D0A1B">
        <w:rPr>
          <w:rFonts w:ascii="Arial" w:eastAsia="Times New Roman" w:hAnsi="Arial" w:cs="Arial"/>
          <w:sz w:val="24"/>
          <w:szCs w:val="24"/>
        </w:rPr>
        <w:t xml:space="preserve"> generates sufficient income to cover capital financing costs with a sufficient degree of certainty. If the scheme does not cover financing costs immediately, </w:t>
      </w:r>
      <w:r>
        <w:rPr>
          <w:rFonts w:ascii="Arial" w:eastAsia="Times New Roman" w:hAnsi="Arial" w:cs="Arial"/>
          <w:sz w:val="24"/>
          <w:szCs w:val="24"/>
        </w:rPr>
        <w:t>it w</w:t>
      </w:r>
      <w:r w:rsidRPr="006D0A1B">
        <w:rPr>
          <w:rFonts w:ascii="Arial" w:eastAsia="Times New Roman" w:hAnsi="Arial" w:cs="Arial"/>
          <w:sz w:val="24"/>
          <w:szCs w:val="24"/>
        </w:rPr>
        <w:t xml:space="preserve">ill need to generate a return for the general fund in later years in excess of financing costs   </w:t>
      </w:r>
    </w:p>
    <w:p w:rsidR="00BC3849" w:rsidRPr="006D0A1B" w:rsidRDefault="00BC3849" w:rsidP="006D0A1B">
      <w:pPr>
        <w:pStyle w:val="PlainText"/>
        <w:ind w:left="360"/>
        <w:rPr>
          <w:rFonts w:ascii="Arial" w:eastAsia="Times New Roman" w:hAnsi="Arial" w:cs="Arial"/>
          <w:sz w:val="24"/>
          <w:szCs w:val="24"/>
        </w:rPr>
      </w:pPr>
    </w:p>
    <w:p w:rsidR="00BC3849" w:rsidRPr="006D0A1B" w:rsidRDefault="00BC3849" w:rsidP="006D0A1B">
      <w:pPr>
        <w:pStyle w:val="PlainText"/>
        <w:numPr>
          <w:ilvl w:val="0"/>
          <w:numId w:val="39"/>
        </w:numPr>
        <w:rPr>
          <w:rFonts w:ascii="Arial" w:eastAsia="Times New Roman" w:hAnsi="Arial" w:cs="Arial"/>
          <w:sz w:val="24"/>
          <w:szCs w:val="24"/>
        </w:rPr>
      </w:pPr>
      <w:r w:rsidRPr="006D0A1B">
        <w:rPr>
          <w:rFonts w:ascii="Arial" w:eastAsia="Times New Roman" w:hAnsi="Arial" w:cs="Arial"/>
          <w:sz w:val="24"/>
          <w:szCs w:val="24"/>
        </w:rPr>
        <w:t xml:space="preserve">The </w:t>
      </w:r>
      <w:r w:rsidR="008B2D4F">
        <w:rPr>
          <w:rFonts w:ascii="Arial" w:eastAsia="Times New Roman" w:hAnsi="Arial" w:cs="Arial"/>
          <w:sz w:val="24"/>
          <w:szCs w:val="24"/>
        </w:rPr>
        <w:t xml:space="preserve">proposal </w:t>
      </w:r>
      <w:r w:rsidR="00EB6285" w:rsidRPr="006D0A1B">
        <w:rPr>
          <w:rFonts w:ascii="Arial" w:eastAsia="Times New Roman" w:hAnsi="Arial" w:cs="Arial"/>
          <w:sz w:val="24"/>
          <w:szCs w:val="24"/>
        </w:rPr>
        <w:t xml:space="preserve">addresses a well-defined strategy to deliver an </w:t>
      </w:r>
      <w:r w:rsidR="009620E2">
        <w:rPr>
          <w:rFonts w:ascii="Arial" w:eastAsia="Times New Roman" w:hAnsi="Arial" w:cs="Arial"/>
          <w:sz w:val="24"/>
          <w:szCs w:val="24"/>
        </w:rPr>
        <w:t>a</w:t>
      </w:r>
      <w:r w:rsidR="00EB6285" w:rsidRPr="006D0A1B">
        <w:rPr>
          <w:rFonts w:ascii="Arial" w:eastAsia="Times New Roman" w:hAnsi="Arial" w:cs="Arial"/>
          <w:sz w:val="24"/>
          <w:szCs w:val="24"/>
        </w:rPr>
        <w:t>dministration priority</w:t>
      </w:r>
      <w:r w:rsidR="00EB6285">
        <w:rPr>
          <w:rFonts w:ascii="Arial" w:eastAsia="Times New Roman" w:hAnsi="Arial" w:cs="Arial"/>
          <w:sz w:val="24"/>
          <w:szCs w:val="24"/>
        </w:rPr>
        <w:t>.</w:t>
      </w:r>
    </w:p>
    <w:p w:rsidR="00306856" w:rsidRDefault="00306856" w:rsidP="006D0A1B">
      <w:pPr>
        <w:ind w:left="1440"/>
        <w:rPr>
          <w:sz w:val="28"/>
        </w:rPr>
      </w:pPr>
    </w:p>
    <w:p w:rsidR="00306856" w:rsidRPr="00253BB4" w:rsidRDefault="00306856">
      <w:pPr>
        <w:numPr>
          <w:ilvl w:val="0"/>
          <w:numId w:val="27"/>
        </w:numPr>
        <w:tabs>
          <w:tab w:val="num" w:pos="1560"/>
        </w:tabs>
        <w:spacing w:after="240"/>
        <w:jc w:val="both"/>
        <w:rPr>
          <w:i/>
          <w:sz w:val="28"/>
        </w:rPr>
      </w:pPr>
      <w:r w:rsidRPr="00253BB4">
        <w:rPr>
          <w:szCs w:val="24"/>
        </w:rPr>
        <w:t>The</w:t>
      </w:r>
      <w:r w:rsidRPr="00306856">
        <w:rPr>
          <w:sz w:val="28"/>
        </w:rPr>
        <w:t xml:space="preserve"> </w:t>
      </w:r>
      <w:r w:rsidRPr="00306856">
        <w:rPr>
          <w:rFonts w:cs="Arial"/>
          <w:szCs w:val="24"/>
        </w:rPr>
        <w:t>draft Capital Programme report presented to Cabinet in December</w:t>
      </w:r>
      <w:r w:rsidR="00EB6285">
        <w:rPr>
          <w:rFonts w:cs="Arial"/>
          <w:szCs w:val="24"/>
        </w:rPr>
        <w:t xml:space="preserve"> 2016</w:t>
      </w:r>
      <w:r w:rsidRPr="00306856">
        <w:rPr>
          <w:rFonts w:cs="Arial"/>
          <w:szCs w:val="24"/>
        </w:rPr>
        <w:t xml:space="preserve"> included a schedule of proposed additions to the Capital </w:t>
      </w:r>
      <w:r w:rsidR="00EB6285">
        <w:rPr>
          <w:rFonts w:cs="Arial"/>
          <w:szCs w:val="24"/>
        </w:rPr>
        <w:t>P</w:t>
      </w:r>
      <w:r w:rsidRPr="00306856">
        <w:rPr>
          <w:rFonts w:cs="Arial"/>
          <w:szCs w:val="24"/>
        </w:rPr>
        <w:t xml:space="preserve">rogramme between 2017/18 and 2019/20 which would be subject to further review and consideration </w:t>
      </w:r>
      <w:r w:rsidR="00EB6285">
        <w:rPr>
          <w:rFonts w:cs="Arial"/>
          <w:szCs w:val="24"/>
        </w:rPr>
        <w:t xml:space="preserve">during  December and January, </w:t>
      </w:r>
      <w:r w:rsidRPr="00306856">
        <w:rPr>
          <w:rFonts w:cs="Arial"/>
          <w:szCs w:val="24"/>
        </w:rPr>
        <w:t>prior to inclusion in this Final Capital Programme report in February</w:t>
      </w:r>
      <w:r w:rsidR="00EB6285">
        <w:rPr>
          <w:rFonts w:cs="Arial"/>
          <w:szCs w:val="24"/>
        </w:rPr>
        <w:t xml:space="preserve"> 2017</w:t>
      </w:r>
      <w:r w:rsidRPr="00306856">
        <w:rPr>
          <w:rFonts w:cs="Arial"/>
          <w:szCs w:val="24"/>
        </w:rPr>
        <w:t xml:space="preserve">. The proposals have been reviewed </w:t>
      </w:r>
      <w:r w:rsidR="00E90107">
        <w:rPr>
          <w:rFonts w:cs="Arial"/>
          <w:szCs w:val="24"/>
        </w:rPr>
        <w:t xml:space="preserve">against the criteria above </w:t>
      </w:r>
      <w:r w:rsidRPr="00306856">
        <w:rPr>
          <w:rFonts w:cs="Arial"/>
          <w:szCs w:val="24"/>
        </w:rPr>
        <w:t>and a number of the original proposals which had a start date of 2018/19, have been removed where it was felt that they would benefit from more work being carried out and then be represented as part of the 2018/19 Capital Programme budget  process.</w:t>
      </w:r>
      <w:r>
        <w:t xml:space="preserve"> </w:t>
      </w:r>
    </w:p>
    <w:p w:rsidR="00306856" w:rsidRPr="00253BB4" w:rsidRDefault="00306856">
      <w:pPr>
        <w:numPr>
          <w:ilvl w:val="0"/>
          <w:numId w:val="27"/>
        </w:numPr>
        <w:tabs>
          <w:tab w:val="num" w:pos="1560"/>
        </w:tabs>
        <w:spacing w:after="240"/>
        <w:jc w:val="both"/>
        <w:rPr>
          <w:i/>
          <w:sz w:val="28"/>
        </w:rPr>
      </w:pPr>
      <w:r>
        <w:t xml:space="preserve">A </w:t>
      </w:r>
      <w:r w:rsidRPr="00105B2C">
        <w:rPr>
          <w:rFonts w:cs="Arial"/>
          <w:szCs w:val="24"/>
        </w:rPr>
        <w:t xml:space="preserve">list of the </w:t>
      </w:r>
      <w:r>
        <w:rPr>
          <w:rFonts w:cs="Arial"/>
          <w:szCs w:val="24"/>
        </w:rPr>
        <w:t xml:space="preserve">new </w:t>
      </w:r>
      <w:r w:rsidRPr="00105B2C">
        <w:rPr>
          <w:rFonts w:cs="Arial"/>
          <w:szCs w:val="24"/>
        </w:rPr>
        <w:t xml:space="preserve">proposed projects </w:t>
      </w:r>
      <w:r>
        <w:rPr>
          <w:rFonts w:cs="Arial"/>
          <w:szCs w:val="24"/>
        </w:rPr>
        <w:t xml:space="preserve">within the programme </w:t>
      </w:r>
      <w:r w:rsidRPr="00105B2C">
        <w:rPr>
          <w:rFonts w:cs="Arial"/>
          <w:szCs w:val="24"/>
        </w:rPr>
        <w:t xml:space="preserve">is detailed in appendix </w:t>
      </w:r>
      <w:r>
        <w:rPr>
          <w:rFonts w:cs="Arial"/>
          <w:szCs w:val="24"/>
        </w:rPr>
        <w:t>2 and summarised in Table 1 below:</w:t>
      </w:r>
    </w:p>
    <w:p w:rsidR="00137923" w:rsidRPr="00253BB4" w:rsidRDefault="00137923" w:rsidP="00253BB4">
      <w:pPr>
        <w:ind w:left="360"/>
        <w:rPr>
          <w:szCs w:val="24"/>
        </w:rPr>
      </w:pPr>
      <w:r w:rsidRPr="00253BB4">
        <w:rPr>
          <w:szCs w:val="24"/>
        </w:rPr>
        <w:t>Table 1</w:t>
      </w:r>
    </w:p>
    <w:p w:rsidR="007420BD" w:rsidRDefault="00137923" w:rsidP="00253BB4">
      <w:pPr>
        <w:jc w:val="both"/>
        <w:rPr>
          <w:rFonts w:cs="Arial"/>
          <w:szCs w:val="24"/>
        </w:rPr>
      </w:pPr>
      <w:r w:rsidRPr="00137923">
        <w:rPr>
          <w:noProof/>
          <w:lang w:eastAsia="en-GB"/>
        </w:rPr>
        <w:drawing>
          <wp:inline distT="0" distB="0" distL="0" distR="0" wp14:anchorId="66919BD9" wp14:editId="7B14B10A">
            <wp:extent cx="5276215" cy="223475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215" cy="2234759"/>
                    </a:xfrm>
                    <a:prstGeom prst="rect">
                      <a:avLst/>
                    </a:prstGeom>
                    <a:noFill/>
                    <a:ln>
                      <a:noFill/>
                    </a:ln>
                  </pic:spPr>
                </pic:pic>
              </a:graphicData>
            </a:graphic>
          </wp:inline>
        </w:drawing>
      </w:r>
    </w:p>
    <w:p w:rsidR="00B14937" w:rsidRDefault="00B14937" w:rsidP="00105B2C">
      <w:pPr>
        <w:ind w:left="567"/>
        <w:jc w:val="both"/>
        <w:rPr>
          <w:rFonts w:cs="Arial"/>
          <w:szCs w:val="24"/>
        </w:rPr>
      </w:pPr>
    </w:p>
    <w:p w:rsidR="0015448F" w:rsidRDefault="0015448F" w:rsidP="00105B2C">
      <w:pPr>
        <w:ind w:left="567"/>
        <w:jc w:val="both"/>
        <w:rPr>
          <w:rFonts w:cs="Arial"/>
          <w:szCs w:val="24"/>
        </w:rPr>
      </w:pPr>
    </w:p>
    <w:p w:rsidR="00105B2C" w:rsidRDefault="005867D6" w:rsidP="00C01297">
      <w:pPr>
        <w:numPr>
          <w:ilvl w:val="0"/>
          <w:numId w:val="27"/>
        </w:numPr>
        <w:tabs>
          <w:tab w:val="clear" w:pos="360"/>
          <w:tab w:val="num" w:pos="993"/>
          <w:tab w:val="num" w:pos="1560"/>
        </w:tabs>
        <w:spacing w:after="240"/>
        <w:ind w:left="567" w:hanging="567"/>
        <w:jc w:val="both"/>
      </w:pPr>
      <w:r>
        <w:rPr>
          <w:rFonts w:cs="Arial"/>
          <w:szCs w:val="24"/>
        </w:rPr>
        <w:t>T</w:t>
      </w:r>
      <w:r w:rsidRPr="00105B2C">
        <w:rPr>
          <w:rFonts w:cs="Arial"/>
          <w:szCs w:val="24"/>
        </w:rPr>
        <w:t xml:space="preserve">hese provide for a very substantial </w:t>
      </w:r>
      <w:r w:rsidR="00693072">
        <w:rPr>
          <w:rFonts w:cs="Arial"/>
          <w:szCs w:val="24"/>
        </w:rPr>
        <w:t xml:space="preserve">net </w:t>
      </w:r>
      <w:r w:rsidRPr="00105B2C">
        <w:rPr>
          <w:rFonts w:cs="Arial"/>
          <w:szCs w:val="24"/>
        </w:rPr>
        <w:t xml:space="preserve">investment of </w:t>
      </w:r>
      <w:r w:rsidRPr="0015448F">
        <w:rPr>
          <w:rFonts w:cs="Arial"/>
          <w:szCs w:val="24"/>
        </w:rPr>
        <w:t>£</w:t>
      </w:r>
      <w:r w:rsidR="007420BD">
        <w:rPr>
          <w:rFonts w:cs="Arial"/>
          <w:szCs w:val="24"/>
        </w:rPr>
        <w:t>5</w:t>
      </w:r>
      <w:r w:rsidR="00137923">
        <w:rPr>
          <w:rFonts w:cs="Arial"/>
          <w:szCs w:val="24"/>
        </w:rPr>
        <w:t>5</w:t>
      </w:r>
      <w:r w:rsidR="007420BD">
        <w:rPr>
          <w:rFonts w:cs="Arial"/>
          <w:szCs w:val="24"/>
        </w:rPr>
        <w:t>.</w:t>
      </w:r>
      <w:r w:rsidR="009620E2">
        <w:rPr>
          <w:rFonts w:cs="Arial"/>
          <w:szCs w:val="24"/>
        </w:rPr>
        <w:t>2</w:t>
      </w:r>
      <w:r w:rsidR="007420BD">
        <w:rPr>
          <w:rFonts w:cs="Arial"/>
          <w:szCs w:val="24"/>
        </w:rPr>
        <w:t>m</w:t>
      </w:r>
      <w:r w:rsidRPr="0015448F">
        <w:rPr>
          <w:rFonts w:cs="Arial"/>
          <w:szCs w:val="24"/>
        </w:rPr>
        <w:t xml:space="preserve"> in infrastructure on </w:t>
      </w:r>
      <w:r w:rsidR="0015448F" w:rsidRPr="0015448F">
        <w:rPr>
          <w:rFonts w:cs="Arial"/>
          <w:szCs w:val="24"/>
        </w:rPr>
        <w:t xml:space="preserve">the </w:t>
      </w:r>
      <w:r w:rsidRPr="0015448F">
        <w:rPr>
          <w:rFonts w:cs="Arial"/>
          <w:szCs w:val="24"/>
        </w:rPr>
        <w:t>General Fund services over the next three years in line with the Medium Term Financial Strategy</w:t>
      </w:r>
      <w:r w:rsidR="0015448F" w:rsidRPr="0015448F">
        <w:rPr>
          <w:rFonts w:cs="Arial"/>
          <w:szCs w:val="24"/>
        </w:rPr>
        <w:t>.</w:t>
      </w:r>
      <w:r w:rsidR="0015448F">
        <w:rPr>
          <w:rFonts w:cs="Arial"/>
          <w:szCs w:val="24"/>
        </w:rPr>
        <w:t xml:space="preserve"> </w:t>
      </w:r>
      <w:r w:rsidR="00105B2C" w:rsidRPr="0015448F">
        <w:t>The gross value of the proposed General Fund programme is £</w:t>
      </w:r>
      <w:r w:rsidR="002A49D2">
        <w:t>61</w:t>
      </w:r>
      <w:r w:rsidR="007420BD">
        <w:t>.</w:t>
      </w:r>
      <w:r w:rsidR="002A49D2">
        <w:t>5</w:t>
      </w:r>
      <w:r w:rsidR="007420BD">
        <w:t>66</w:t>
      </w:r>
      <w:r w:rsidR="00072413" w:rsidRPr="0015448F">
        <w:t>m</w:t>
      </w:r>
      <w:r w:rsidR="00105B2C" w:rsidRPr="0015448F">
        <w:t xml:space="preserve">, with external funding </w:t>
      </w:r>
      <w:r w:rsidR="00105B2C" w:rsidRPr="005B1B67">
        <w:t>of £</w:t>
      </w:r>
      <w:r w:rsidR="002A49D2">
        <w:t>6</w:t>
      </w:r>
      <w:r w:rsidR="007420BD">
        <w:t>.</w:t>
      </w:r>
      <w:r w:rsidR="002A49D2">
        <w:t>390</w:t>
      </w:r>
      <w:r w:rsidR="0015448F" w:rsidRPr="005B1B67">
        <w:t>m</w:t>
      </w:r>
      <w:r w:rsidR="00105B2C" w:rsidRPr="005B1B67">
        <w:t xml:space="preserve"> and a net </w:t>
      </w:r>
      <w:r w:rsidR="00E23647" w:rsidRPr="005B1B67">
        <w:t xml:space="preserve">increase in the programme of </w:t>
      </w:r>
      <w:r w:rsidR="00105B2C" w:rsidRPr="005B1B67">
        <w:t>£</w:t>
      </w:r>
      <w:r w:rsidR="007420BD">
        <w:t>5</w:t>
      </w:r>
      <w:r w:rsidR="00137923">
        <w:t>5</w:t>
      </w:r>
      <w:r w:rsidR="007420BD">
        <w:t>.</w:t>
      </w:r>
      <w:r w:rsidR="00137923">
        <w:t>176</w:t>
      </w:r>
      <w:r w:rsidR="00105B2C" w:rsidRPr="005B1B67">
        <w:t xml:space="preserve">m.  </w:t>
      </w:r>
    </w:p>
    <w:p w:rsidR="007B7A26" w:rsidRDefault="00137923" w:rsidP="00253BB4">
      <w:pPr>
        <w:tabs>
          <w:tab w:val="num" w:pos="1560"/>
        </w:tabs>
        <w:spacing w:after="240"/>
        <w:ind w:left="567"/>
        <w:jc w:val="both"/>
      </w:pPr>
      <w:r>
        <w:t>The new capital proposals are s</w:t>
      </w:r>
      <w:r w:rsidR="007B7A26">
        <w:t>et out at Appendix 2</w:t>
      </w:r>
      <w:r>
        <w:t>.</w:t>
      </w:r>
    </w:p>
    <w:p w:rsidR="00EB6285" w:rsidRDefault="00EB6285" w:rsidP="00253BB4">
      <w:pPr>
        <w:tabs>
          <w:tab w:val="num" w:pos="1560"/>
        </w:tabs>
        <w:spacing w:after="240"/>
        <w:ind w:left="567"/>
        <w:jc w:val="both"/>
      </w:pPr>
    </w:p>
    <w:p w:rsidR="007B7A26" w:rsidRPr="00253BB4" w:rsidRDefault="007B7A26" w:rsidP="00253BB4">
      <w:pPr>
        <w:tabs>
          <w:tab w:val="num" w:pos="1560"/>
        </w:tabs>
        <w:spacing w:after="240"/>
        <w:ind w:left="567"/>
        <w:jc w:val="both"/>
        <w:rPr>
          <w:b/>
        </w:rPr>
      </w:pPr>
      <w:r w:rsidRPr="00253BB4">
        <w:rPr>
          <w:b/>
        </w:rPr>
        <w:t>Resources</w:t>
      </w:r>
    </w:p>
    <w:p w:rsidR="00EA3646" w:rsidRPr="00253BB4" w:rsidRDefault="00B628D7" w:rsidP="00C01297">
      <w:pPr>
        <w:numPr>
          <w:ilvl w:val="0"/>
          <w:numId w:val="27"/>
        </w:numPr>
        <w:tabs>
          <w:tab w:val="clear" w:pos="360"/>
          <w:tab w:val="num" w:pos="993"/>
          <w:tab w:val="num" w:pos="1560"/>
        </w:tabs>
        <w:spacing w:after="240"/>
        <w:ind w:left="567" w:hanging="567"/>
        <w:jc w:val="both"/>
        <w:rPr>
          <w:i/>
        </w:rPr>
      </w:pPr>
      <w:r>
        <w:t>Information Technology</w:t>
      </w:r>
      <w:r w:rsidR="00EB6285">
        <w:t xml:space="preserve"> (IT)</w:t>
      </w:r>
      <w:r w:rsidR="007420BD">
        <w:t xml:space="preserve"> </w:t>
      </w:r>
      <w:r w:rsidR="007E360D">
        <w:t xml:space="preserve">– an additional </w:t>
      </w:r>
      <w:r w:rsidR="007B7A26">
        <w:t xml:space="preserve">£1.7m </w:t>
      </w:r>
      <w:r w:rsidR="007E360D">
        <w:t xml:space="preserve">per annum </w:t>
      </w:r>
      <w:r w:rsidR="007B7A26">
        <w:t xml:space="preserve">capital is being proposed for each year between 2017/18 and 2019/20.  This is to cover </w:t>
      </w:r>
      <w:r w:rsidR="007E360D">
        <w:t xml:space="preserve">the refresh of </w:t>
      </w:r>
      <w:r w:rsidR="007B7A26">
        <w:t>devolved application</w:t>
      </w:r>
      <w:r w:rsidR="007E360D">
        <w:t xml:space="preserve">s, </w:t>
      </w:r>
      <w:r w:rsidR="007B7A26">
        <w:t xml:space="preserve">maintain external compliance </w:t>
      </w:r>
      <w:r w:rsidR="007E360D">
        <w:t xml:space="preserve">and </w:t>
      </w:r>
      <w:r w:rsidR="007B7A26">
        <w:t>to support the</w:t>
      </w:r>
      <w:r w:rsidR="00EA3646">
        <w:t xml:space="preserve"> deployment of new applications.</w:t>
      </w:r>
    </w:p>
    <w:p w:rsidR="00FA1D36" w:rsidRPr="00253BB4" w:rsidRDefault="00EA3646" w:rsidP="00253BB4">
      <w:pPr>
        <w:tabs>
          <w:tab w:val="num" w:pos="1560"/>
        </w:tabs>
        <w:spacing w:after="240"/>
        <w:ind w:left="567"/>
        <w:jc w:val="both"/>
        <w:rPr>
          <w:b/>
          <w:i/>
        </w:rPr>
      </w:pPr>
      <w:r w:rsidRPr="00253BB4">
        <w:rPr>
          <w:b/>
        </w:rPr>
        <w:t>Adults</w:t>
      </w:r>
    </w:p>
    <w:p w:rsidR="00EA3646" w:rsidRPr="00253BB4" w:rsidRDefault="00B628D7" w:rsidP="00C01297">
      <w:pPr>
        <w:numPr>
          <w:ilvl w:val="0"/>
          <w:numId w:val="27"/>
        </w:numPr>
        <w:tabs>
          <w:tab w:val="clear" w:pos="360"/>
          <w:tab w:val="num" w:pos="993"/>
          <w:tab w:val="num" w:pos="1560"/>
        </w:tabs>
        <w:spacing w:after="240"/>
        <w:ind w:left="567" w:hanging="567"/>
        <w:jc w:val="both"/>
        <w:rPr>
          <w:i/>
        </w:rPr>
      </w:pPr>
      <w:proofErr w:type="spellStart"/>
      <w:r>
        <w:t>Sancroft</w:t>
      </w:r>
      <w:proofErr w:type="spellEnd"/>
      <w:r>
        <w:t xml:space="preserve"> care home - </w:t>
      </w:r>
      <w:r w:rsidR="00EA3646">
        <w:t xml:space="preserve">£5.1m is being proposed </w:t>
      </w:r>
      <w:r w:rsidR="007E360D">
        <w:t>for</w:t>
      </w:r>
      <w:r w:rsidR="00EA3646">
        <w:t xml:space="preserve"> 2017/18.  This capital is being added into the Capital Programme</w:t>
      </w:r>
      <w:r w:rsidR="0062246A">
        <w:t xml:space="preserve">, however, </w:t>
      </w:r>
      <w:r w:rsidR="00EA3646">
        <w:t xml:space="preserve">a separate future cabinet report will be required which sets out the </w:t>
      </w:r>
      <w:r w:rsidR="007E360D">
        <w:t>b</w:t>
      </w:r>
      <w:r w:rsidR="00EA3646">
        <w:t xml:space="preserve">usiness case to support the capital expenditure.  </w:t>
      </w:r>
    </w:p>
    <w:p w:rsidR="00EA3646" w:rsidRPr="00253BB4" w:rsidRDefault="00B628D7" w:rsidP="00C01297">
      <w:pPr>
        <w:numPr>
          <w:ilvl w:val="0"/>
          <w:numId w:val="27"/>
        </w:numPr>
        <w:tabs>
          <w:tab w:val="clear" w:pos="360"/>
          <w:tab w:val="num" w:pos="993"/>
          <w:tab w:val="num" w:pos="1560"/>
        </w:tabs>
        <w:spacing w:after="240"/>
        <w:ind w:left="567" w:hanging="567"/>
        <w:jc w:val="both"/>
        <w:rPr>
          <w:i/>
        </w:rPr>
      </w:pPr>
      <w:r>
        <w:t xml:space="preserve">Mentis project - </w:t>
      </w:r>
      <w:r w:rsidR="00EA3646">
        <w:t xml:space="preserve">£250k is proposed in 2017/18 to support the Mentis Pilot project.  Capital investment is required to convert and adapt a building.  This £250k expenditure will not be released until a </w:t>
      </w:r>
      <w:r w:rsidR="007E360D">
        <w:t>b</w:t>
      </w:r>
      <w:r w:rsidR="00EA3646">
        <w:t>usiness case is provided to support the capital expenditure.</w:t>
      </w:r>
    </w:p>
    <w:p w:rsidR="00EA3646" w:rsidRDefault="00EA3646" w:rsidP="00253BB4">
      <w:pPr>
        <w:tabs>
          <w:tab w:val="num" w:pos="1560"/>
        </w:tabs>
        <w:spacing w:after="240"/>
        <w:ind w:left="567"/>
        <w:jc w:val="both"/>
        <w:rPr>
          <w:b/>
        </w:rPr>
      </w:pPr>
      <w:r w:rsidRPr="00253BB4">
        <w:rPr>
          <w:b/>
        </w:rPr>
        <w:t>Community Directorate</w:t>
      </w:r>
    </w:p>
    <w:p w:rsidR="001548D5" w:rsidRPr="006D0A1B" w:rsidRDefault="001548D5" w:rsidP="00C01297">
      <w:pPr>
        <w:numPr>
          <w:ilvl w:val="0"/>
          <w:numId w:val="27"/>
        </w:numPr>
        <w:tabs>
          <w:tab w:val="clear" w:pos="360"/>
          <w:tab w:val="num" w:pos="993"/>
          <w:tab w:val="num" w:pos="1560"/>
        </w:tabs>
        <w:spacing w:after="240"/>
        <w:ind w:left="567" w:hanging="567"/>
        <w:jc w:val="both"/>
        <w:rPr>
          <w:i/>
        </w:rPr>
      </w:pPr>
      <w:r>
        <w:t xml:space="preserve">Highways and Roads - £4.8m is proposed to improve the Highways infrastructure.  This funding is split £2.4m in 2017/18 and £2.4m in 2018/19.  The £4.8m will be funded from Community Infrastructure Levy (CIL) income and does not incur any additional capital financing costs. </w:t>
      </w:r>
      <w:r w:rsidRPr="002D7E12">
        <w:t>CIL came into effect on 1st October 2013 and enables the Council to levy a charge on certain types of new development to help fund new or expanded local infrastructure such as schools, transport, green spaces, health and leisure facilities required to support the new development.</w:t>
      </w:r>
    </w:p>
    <w:p w:rsidR="001548D5" w:rsidRPr="006D0A1B" w:rsidRDefault="001548D5" w:rsidP="00C01297">
      <w:pPr>
        <w:numPr>
          <w:ilvl w:val="0"/>
          <w:numId w:val="27"/>
        </w:numPr>
        <w:tabs>
          <w:tab w:val="clear" w:pos="360"/>
          <w:tab w:val="num" w:pos="993"/>
          <w:tab w:val="num" w:pos="1560"/>
        </w:tabs>
        <w:spacing w:after="240"/>
        <w:ind w:left="567" w:hanging="567"/>
        <w:jc w:val="both"/>
        <w:rPr>
          <w:i/>
        </w:rPr>
      </w:pPr>
      <w:r w:rsidRPr="00BD52B6">
        <w:t>The Harrow CIL is underpinned by the Infrastructure Delivery Plan (IDP) which sets out the infrastructure</w:t>
      </w:r>
      <w:r>
        <w:rPr>
          <w:szCs w:val="24"/>
        </w:rPr>
        <w:t xml:space="preserve"> required to enable investment and planned growth in the Borough.</w:t>
      </w:r>
      <w:r w:rsidRPr="001548D5">
        <w:t xml:space="preserve"> </w:t>
      </w:r>
      <w:r>
        <w:t>The Council has already received approximately £4.2m CIL income to date for the years 2015/16 and 2016/17.  It is anticipated that the further £0.6m CIL funding required</w:t>
      </w:r>
      <w:r w:rsidR="00BD52B6">
        <w:t xml:space="preserve"> to fund this Highways and Roads expenditure</w:t>
      </w:r>
      <w:r>
        <w:t>, will be received in 2017/18 to 2018/19</w:t>
      </w:r>
      <w:r w:rsidR="00BD52B6">
        <w:t>.</w:t>
      </w:r>
    </w:p>
    <w:p w:rsidR="002A49D2" w:rsidRPr="00BD52B6" w:rsidRDefault="00B628D7" w:rsidP="00BD52B6">
      <w:pPr>
        <w:numPr>
          <w:ilvl w:val="0"/>
          <w:numId w:val="27"/>
        </w:numPr>
        <w:tabs>
          <w:tab w:val="clear" w:pos="360"/>
          <w:tab w:val="num" w:pos="993"/>
          <w:tab w:val="num" w:pos="1560"/>
        </w:tabs>
        <w:spacing w:after="240"/>
        <w:ind w:left="567" w:hanging="567"/>
        <w:jc w:val="both"/>
        <w:rPr>
          <w:i/>
        </w:rPr>
      </w:pPr>
      <w:r w:rsidRPr="006E5E7A">
        <w:t xml:space="preserve">Street Litter Bins - </w:t>
      </w:r>
      <w:r w:rsidR="00EA3646" w:rsidRPr="006E5E7A">
        <w:t>£300k pa is proposed for the 3 years 2017/18 to 2019/20 to provide a</w:t>
      </w:r>
      <w:r w:rsidR="0062246A">
        <w:t>n</w:t>
      </w:r>
      <w:r w:rsidR="00EA3646" w:rsidRPr="006E5E7A">
        <w:t xml:space="preserve"> adequate number of street litter bin</w:t>
      </w:r>
      <w:r w:rsidR="001548D5">
        <w:rPr>
          <w:i/>
        </w:rPr>
        <w:t>s.</w:t>
      </w:r>
    </w:p>
    <w:p w:rsidR="00B628D7" w:rsidRPr="00253BB4" w:rsidRDefault="00B628D7" w:rsidP="00C01297">
      <w:pPr>
        <w:numPr>
          <w:ilvl w:val="0"/>
          <w:numId w:val="27"/>
        </w:numPr>
        <w:tabs>
          <w:tab w:val="clear" w:pos="360"/>
          <w:tab w:val="num" w:pos="993"/>
          <w:tab w:val="num" w:pos="1560"/>
        </w:tabs>
        <w:spacing w:after="240"/>
        <w:ind w:left="567" w:hanging="567"/>
        <w:jc w:val="both"/>
        <w:rPr>
          <w:i/>
        </w:rPr>
      </w:pPr>
      <w:r w:rsidRPr="00253BB4">
        <w:t xml:space="preserve">Depot redevelopment - £24.2m is proposed over the three year period 2017/18 to 2019/20 for the redevelopment of the Central depot. </w:t>
      </w:r>
      <w:r w:rsidR="00A41DB1" w:rsidRPr="00253BB4">
        <w:t xml:space="preserve">This proposal is subject to the business case being agreed by Cabinet in a separate future cabinet report. </w:t>
      </w:r>
      <w:r w:rsidRPr="00253BB4">
        <w:t>The business case will set out the proposal to consolidate and intensify the existing depot and make efficient use of the facility, improve office and welfare facilities for staff</w:t>
      </w:r>
      <w:r w:rsidR="00A41DB1" w:rsidRPr="00253BB4">
        <w:t xml:space="preserve"> as well as </w:t>
      </w:r>
      <w:r w:rsidRPr="00253BB4">
        <w:t>maintain</w:t>
      </w:r>
      <w:r w:rsidR="00A41DB1" w:rsidRPr="00253BB4">
        <w:t>ing</w:t>
      </w:r>
      <w:r w:rsidRPr="00253BB4">
        <w:t xml:space="preserve"> revenue income and also generate additional revenue income for the Council.  </w:t>
      </w:r>
      <w:r w:rsidR="00137998">
        <w:t>It is anticipated that t</w:t>
      </w:r>
      <w:r w:rsidRPr="00253BB4">
        <w:t xml:space="preserve">he additional revenue income will cover the running costs </w:t>
      </w:r>
      <w:r w:rsidR="00A41DB1" w:rsidRPr="00253BB4">
        <w:t xml:space="preserve">of the depot </w:t>
      </w:r>
      <w:r w:rsidRPr="00253BB4">
        <w:t xml:space="preserve">and capital financing costs of the </w:t>
      </w:r>
      <w:r w:rsidR="00A41DB1" w:rsidRPr="00253BB4">
        <w:t>£24.2m capital expenditure. The current budget includes the Capital financing costs of the depot</w:t>
      </w:r>
      <w:r w:rsidR="00137998">
        <w:t xml:space="preserve"> and also the antic</w:t>
      </w:r>
      <w:r w:rsidR="001548D5">
        <w:t>i</w:t>
      </w:r>
      <w:r w:rsidR="00137998">
        <w:t>pated revenue income to cover the costs, so it is cost neutral to the budget.</w:t>
      </w:r>
      <w:r w:rsidR="00A41DB1" w:rsidRPr="00253BB4">
        <w:t xml:space="preserve">  </w:t>
      </w:r>
    </w:p>
    <w:p w:rsidR="00A41DB1" w:rsidRPr="00253BB4" w:rsidRDefault="00A41DB1" w:rsidP="00C01297">
      <w:pPr>
        <w:numPr>
          <w:ilvl w:val="0"/>
          <w:numId w:val="27"/>
        </w:numPr>
        <w:tabs>
          <w:tab w:val="clear" w:pos="360"/>
          <w:tab w:val="num" w:pos="993"/>
          <w:tab w:val="num" w:pos="1560"/>
        </w:tabs>
        <w:spacing w:after="240"/>
        <w:ind w:left="567" w:hanging="567"/>
        <w:jc w:val="both"/>
        <w:rPr>
          <w:i/>
        </w:rPr>
      </w:pPr>
      <w:r>
        <w:t>Vernon Lodge - £750k for roof works in 2017/18. There are alternative proposals being looked at for Vernon Lodge.  If no other alternative use is proposed then there will be a requirement to replace the roof, but this will only be c</w:t>
      </w:r>
      <w:r w:rsidR="00661C20">
        <w:t xml:space="preserve">ommitted to once </w:t>
      </w:r>
      <w:r>
        <w:t xml:space="preserve">other alternatives have been </w:t>
      </w:r>
      <w:r w:rsidR="00661C20">
        <w:t>ruled out.</w:t>
      </w:r>
    </w:p>
    <w:p w:rsidR="00661C20" w:rsidRPr="00253BB4" w:rsidRDefault="00661C20" w:rsidP="00C01297">
      <w:pPr>
        <w:numPr>
          <w:ilvl w:val="0"/>
          <w:numId w:val="27"/>
        </w:numPr>
        <w:tabs>
          <w:tab w:val="clear" w:pos="360"/>
          <w:tab w:val="num" w:pos="993"/>
          <w:tab w:val="num" w:pos="1560"/>
        </w:tabs>
        <w:spacing w:after="240"/>
        <w:ind w:left="567" w:hanging="567"/>
        <w:jc w:val="both"/>
        <w:rPr>
          <w:i/>
        </w:rPr>
      </w:pPr>
      <w:r>
        <w:t>Central Library refit - £1.3m is required in 2018/19 and 2019/20 for the library refit.</w:t>
      </w:r>
    </w:p>
    <w:p w:rsidR="00661C20" w:rsidRPr="00253BB4" w:rsidRDefault="00661C20" w:rsidP="00C01297">
      <w:pPr>
        <w:numPr>
          <w:ilvl w:val="0"/>
          <w:numId w:val="27"/>
        </w:numPr>
        <w:tabs>
          <w:tab w:val="clear" w:pos="360"/>
          <w:tab w:val="num" w:pos="993"/>
          <w:tab w:val="num" w:pos="1560"/>
        </w:tabs>
        <w:spacing w:after="240"/>
        <w:ind w:left="567" w:hanging="567"/>
        <w:jc w:val="both"/>
        <w:rPr>
          <w:i/>
        </w:rPr>
      </w:pPr>
      <w:r>
        <w:t xml:space="preserve">Harrow Arts Centre - £1.6m is required from 2017/18 for </w:t>
      </w:r>
      <w:r w:rsidR="0062246A">
        <w:t xml:space="preserve">the </w:t>
      </w:r>
      <w:r>
        <w:t>roof at the Arts Centre.</w:t>
      </w:r>
    </w:p>
    <w:p w:rsidR="00661C20" w:rsidRPr="00253BB4" w:rsidRDefault="00661C20" w:rsidP="00C01297">
      <w:pPr>
        <w:numPr>
          <w:ilvl w:val="0"/>
          <w:numId w:val="27"/>
        </w:numPr>
        <w:tabs>
          <w:tab w:val="clear" w:pos="360"/>
          <w:tab w:val="num" w:pos="993"/>
          <w:tab w:val="num" w:pos="1560"/>
        </w:tabs>
        <w:spacing w:after="240"/>
        <w:ind w:left="567" w:hanging="567"/>
        <w:jc w:val="both"/>
        <w:rPr>
          <w:i/>
        </w:rPr>
      </w:pPr>
      <w:r>
        <w:t>Disabled Facilities Grants - £530k pa from 2017/18 to 2019/20 which is all externally funded.</w:t>
      </w:r>
    </w:p>
    <w:p w:rsidR="00661C20" w:rsidRPr="00253BB4" w:rsidRDefault="00661C20" w:rsidP="00C01297">
      <w:pPr>
        <w:numPr>
          <w:ilvl w:val="0"/>
          <w:numId w:val="27"/>
        </w:numPr>
        <w:tabs>
          <w:tab w:val="clear" w:pos="360"/>
          <w:tab w:val="num" w:pos="993"/>
          <w:tab w:val="num" w:pos="1560"/>
        </w:tabs>
        <w:spacing w:after="240"/>
        <w:ind w:left="567" w:hanging="567"/>
        <w:jc w:val="both"/>
        <w:rPr>
          <w:i/>
        </w:rPr>
      </w:pPr>
      <w:r>
        <w:t xml:space="preserve">Empty property grants and Empty property initiative </w:t>
      </w:r>
      <w:r w:rsidR="00F57CD9">
        <w:t>– £</w:t>
      </w:r>
      <w:r>
        <w:t>976k grants and funding across 2017/18 to 2019/20 to help to get empty properties back into use.</w:t>
      </w:r>
    </w:p>
    <w:p w:rsidR="00661C20" w:rsidRDefault="00661C20" w:rsidP="00C01297">
      <w:pPr>
        <w:numPr>
          <w:ilvl w:val="0"/>
          <w:numId w:val="27"/>
        </w:numPr>
        <w:tabs>
          <w:tab w:val="clear" w:pos="360"/>
          <w:tab w:val="num" w:pos="993"/>
          <w:tab w:val="num" w:pos="1560"/>
        </w:tabs>
        <w:spacing w:after="240"/>
        <w:ind w:left="567" w:hanging="567"/>
        <w:jc w:val="both"/>
        <w:rPr>
          <w:i/>
        </w:rPr>
      </w:pPr>
      <w:r>
        <w:t>Extension to the Property Purchase Initiative - £15m across 2017/18 to 2018/19.  This is an extension to the previous 100 homes property initiative and provides funding for a further 50 properties to be purchased on the open market for the Council to use as Temporary accommodation, providing good quality temporary accommodation</w:t>
      </w:r>
      <w:r w:rsidR="00B74FD0">
        <w:t>.</w:t>
      </w:r>
    </w:p>
    <w:p w:rsidR="000C14C9" w:rsidRPr="00D47AA9" w:rsidRDefault="000C14C9" w:rsidP="00D47AA9">
      <w:pPr>
        <w:spacing w:after="240"/>
        <w:ind w:firstLine="426"/>
        <w:jc w:val="both"/>
        <w:rPr>
          <w:rFonts w:cs="Arial"/>
          <w:b/>
          <w:szCs w:val="24"/>
        </w:rPr>
      </w:pPr>
      <w:r w:rsidRPr="00105B2C">
        <w:rPr>
          <w:rFonts w:cs="Arial"/>
          <w:b/>
          <w:szCs w:val="24"/>
        </w:rPr>
        <w:t>Capital Funding</w:t>
      </w:r>
      <w:r>
        <w:rPr>
          <w:rFonts w:cs="Arial"/>
          <w:b/>
          <w:szCs w:val="24"/>
        </w:rPr>
        <w:t xml:space="preserve"> for the New </w:t>
      </w:r>
      <w:r w:rsidR="003B44AD">
        <w:rPr>
          <w:rFonts w:cs="Arial"/>
          <w:b/>
          <w:szCs w:val="24"/>
        </w:rPr>
        <w:t>C</w:t>
      </w:r>
      <w:r>
        <w:rPr>
          <w:rFonts w:cs="Arial"/>
          <w:b/>
          <w:szCs w:val="24"/>
        </w:rPr>
        <w:t>apital Addition</w:t>
      </w:r>
      <w:r w:rsidR="00D47AA9">
        <w:rPr>
          <w:rFonts w:cs="Arial"/>
          <w:b/>
          <w:szCs w:val="24"/>
        </w:rPr>
        <w:t>s</w:t>
      </w:r>
    </w:p>
    <w:p w:rsidR="000C14C9" w:rsidRPr="000D4DCF" w:rsidRDefault="00D47AA9" w:rsidP="000C14C9">
      <w:pPr>
        <w:numPr>
          <w:ilvl w:val="0"/>
          <w:numId w:val="27"/>
        </w:numPr>
        <w:tabs>
          <w:tab w:val="num" w:pos="1985"/>
        </w:tabs>
        <w:jc w:val="both"/>
        <w:rPr>
          <w:rFonts w:cs="Arial"/>
          <w:szCs w:val="24"/>
        </w:rPr>
      </w:pPr>
      <w:r>
        <w:rPr>
          <w:rFonts w:cs="Arial"/>
          <w:szCs w:val="24"/>
        </w:rPr>
        <w:t xml:space="preserve">It is </w:t>
      </w:r>
      <w:r w:rsidRPr="00105B2C">
        <w:rPr>
          <w:rFonts w:cs="Arial"/>
          <w:szCs w:val="24"/>
        </w:rPr>
        <w:t xml:space="preserve">anticipated that the </w:t>
      </w:r>
      <w:r>
        <w:rPr>
          <w:rFonts w:cs="Arial"/>
          <w:szCs w:val="24"/>
        </w:rPr>
        <w:t xml:space="preserve">new capital additions to the </w:t>
      </w:r>
      <w:r w:rsidRPr="00105B2C">
        <w:rPr>
          <w:rFonts w:cs="Arial"/>
          <w:szCs w:val="24"/>
        </w:rPr>
        <w:t xml:space="preserve">General Fund programme will be financed </w:t>
      </w:r>
      <w:r>
        <w:rPr>
          <w:rFonts w:cs="Arial"/>
          <w:szCs w:val="24"/>
        </w:rPr>
        <w:t>from additional borrowing</w:t>
      </w:r>
      <w:r w:rsidR="00F57CD9">
        <w:rPr>
          <w:rFonts w:cs="Arial"/>
          <w:szCs w:val="24"/>
        </w:rPr>
        <w:t>.</w:t>
      </w:r>
      <w:r w:rsidRPr="00105B2C">
        <w:rPr>
          <w:rFonts w:cs="Arial"/>
          <w:szCs w:val="24"/>
        </w:rPr>
        <w:t xml:space="preserve"> </w:t>
      </w:r>
      <w:r w:rsidR="000C14C9" w:rsidRPr="00105B2C">
        <w:rPr>
          <w:rFonts w:cs="Arial"/>
          <w:szCs w:val="24"/>
        </w:rPr>
        <w:t xml:space="preserve">The revenue implications of this new borrowing, in the context of the Council’s treasury management activity, are set out in </w:t>
      </w:r>
      <w:r w:rsidR="00693072">
        <w:rPr>
          <w:rFonts w:cs="Arial"/>
          <w:szCs w:val="24"/>
        </w:rPr>
        <w:t>t</w:t>
      </w:r>
      <w:r w:rsidR="000C14C9" w:rsidRPr="00105B2C">
        <w:rPr>
          <w:rFonts w:cs="Arial"/>
          <w:szCs w:val="24"/>
        </w:rPr>
        <w:t>able</w:t>
      </w:r>
      <w:r w:rsidR="00693072">
        <w:rPr>
          <w:rFonts w:cs="Arial"/>
          <w:szCs w:val="24"/>
        </w:rPr>
        <w:t xml:space="preserve"> 2</w:t>
      </w:r>
      <w:r w:rsidR="000C14C9" w:rsidRPr="00105B2C">
        <w:rPr>
          <w:rFonts w:cs="Arial"/>
          <w:szCs w:val="24"/>
        </w:rPr>
        <w:t xml:space="preserve"> below. The revenue implications are factored in to the </w:t>
      </w:r>
      <w:r w:rsidR="00F57CD9">
        <w:rPr>
          <w:rFonts w:cs="Arial"/>
          <w:szCs w:val="24"/>
        </w:rPr>
        <w:t>Final R</w:t>
      </w:r>
      <w:r w:rsidR="000C14C9" w:rsidRPr="00105B2C">
        <w:rPr>
          <w:rFonts w:cs="Arial"/>
          <w:szCs w:val="24"/>
        </w:rPr>
        <w:t xml:space="preserve">evenue </w:t>
      </w:r>
      <w:r w:rsidR="00B74FD0">
        <w:rPr>
          <w:rFonts w:cs="Arial"/>
          <w:szCs w:val="24"/>
        </w:rPr>
        <w:t>B</w:t>
      </w:r>
      <w:r w:rsidR="000C14C9" w:rsidRPr="00105B2C">
        <w:rPr>
          <w:rFonts w:cs="Arial"/>
          <w:szCs w:val="24"/>
        </w:rPr>
        <w:t>udget report for 201</w:t>
      </w:r>
      <w:r w:rsidR="003B44AD">
        <w:rPr>
          <w:rFonts w:cs="Arial"/>
          <w:szCs w:val="24"/>
        </w:rPr>
        <w:t>7</w:t>
      </w:r>
      <w:r w:rsidR="000C14C9" w:rsidRPr="00105B2C">
        <w:rPr>
          <w:rFonts w:cs="Arial"/>
          <w:szCs w:val="24"/>
        </w:rPr>
        <w:t>/1</w:t>
      </w:r>
      <w:r w:rsidR="003B44AD">
        <w:rPr>
          <w:rFonts w:cs="Arial"/>
          <w:szCs w:val="24"/>
        </w:rPr>
        <w:t>8</w:t>
      </w:r>
      <w:r w:rsidR="000C14C9" w:rsidRPr="00105B2C">
        <w:rPr>
          <w:rFonts w:cs="Arial"/>
          <w:szCs w:val="24"/>
        </w:rPr>
        <w:t xml:space="preserve"> to 201</w:t>
      </w:r>
      <w:r w:rsidR="000C14C9">
        <w:rPr>
          <w:rFonts w:cs="Arial"/>
          <w:szCs w:val="24"/>
        </w:rPr>
        <w:t>9</w:t>
      </w:r>
      <w:r w:rsidR="000C14C9" w:rsidRPr="00105B2C">
        <w:rPr>
          <w:rFonts w:cs="Arial"/>
          <w:szCs w:val="24"/>
        </w:rPr>
        <w:t>/</w:t>
      </w:r>
      <w:r w:rsidR="000C14C9">
        <w:rPr>
          <w:rFonts w:cs="Arial"/>
          <w:szCs w:val="24"/>
        </w:rPr>
        <w:t>20</w:t>
      </w:r>
      <w:r w:rsidR="000C14C9" w:rsidRPr="00105B2C">
        <w:rPr>
          <w:rFonts w:cs="Arial"/>
          <w:szCs w:val="24"/>
        </w:rPr>
        <w:t xml:space="preserve"> being considered by Cabinet elsewhere on this agenda. The table only includes the </w:t>
      </w:r>
      <w:r w:rsidR="003B44AD">
        <w:rPr>
          <w:rFonts w:cs="Arial"/>
          <w:szCs w:val="24"/>
        </w:rPr>
        <w:t xml:space="preserve">additional </w:t>
      </w:r>
      <w:r w:rsidR="000C14C9" w:rsidRPr="00105B2C">
        <w:rPr>
          <w:rFonts w:cs="Arial"/>
          <w:szCs w:val="24"/>
        </w:rPr>
        <w:t>revenue effects of the programme that is proposed and excludes the revenue implications of previous years’ capital programmes</w:t>
      </w:r>
      <w:r w:rsidR="00693072">
        <w:rPr>
          <w:rFonts w:cs="Arial"/>
          <w:szCs w:val="24"/>
        </w:rPr>
        <w:t xml:space="preserve"> which are already accounted for in the current MTFS</w:t>
      </w:r>
      <w:r w:rsidR="000C14C9" w:rsidRPr="00105B2C">
        <w:rPr>
          <w:rFonts w:cs="Arial"/>
          <w:szCs w:val="24"/>
        </w:rPr>
        <w:t xml:space="preserve">.  </w:t>
      </w:r>
    </w:p>
    <w:p w:rsidR="000C14C9" w:rsidRPr="000D4DCF" w:rsidRDefault="000C14C9" w:rsidP="000C14C9">
      <w:pPr>
        <w:jc w:val="both"/>
        <w:rPr>
          <w:rFonts w:cs="Arial"/>
          <w:szCs w:val="24"/>
        </w:rPr>
      </w:pPr>
    </w:p>
    <w:p w:rsidR="000C14C9" w:rsidRDefault="000C14C9" w:rsidP="00315E65">
      <w:pPr>
        <w:spacing w:after="120"/>
        <w:ind w:firstLine="360"/>
        <w:jc w:val="both"/>
        <w:rPr>
          <w:rFonts w:cs="Arial"/>
          <w:b/>
          <w:bCs/>
          <w:szCs w:val="24"/>
        </w:rPr>
      </w:pPr>
      <w:r w:rsidRPr="000D4DCF">
        <w:rPr>
          <w:rFonts w:cs="Arial"/>
          <w:b/>
          <w:bCs/>
          <w:szCs w:val="24"/>
        </w:rPr>
        <w:t xml:space="preserve">Table 2: Capital Financing Implications of </w:t>
      </w:r>
      <w:r w:rsidR="00FB51BC">
        <w:rPr>
          <w:rFonts w:cs="Arial"/>
          <w:b/>
          <w:bCs/>
          <w:szCs w:val="24"/>
        </w:rPr>
        <w:t>New Additions</w:t>
      </w:r>
    </w:p>
    <w:tbl>
      <w:tblPr>
        <w:tblW w:w="6544" w:type="dxa"/>
        <w:tblInd w:w="534" w:type="dxa"/>
        <w:tblLook w:val="04A0" w:firstRow="1" w:lastRow="0" w:firstColumn="1" w:lastColumn="0" w:noHBand="0" w:noVBand="1"/>
      </w:tblPr>
      <w:tblGrid>
        <w:gridCol w:w="2813"/>
        <w:gridCol w:w="283"/>
        <w:gridCol w:w="1084"/>
        <w:gridCol w:w="1173"/>
        <w:gridCol w:w="1191"/>
      </w:tblGrid>
      <w:tr w:rsidR="00646600" w:rsidRPr="00646600" w:rsidTr="00253BB4">
        <w:trPr>
          <w:trHeight w:val="960"/>
        </w:trPr>
        <w:tc>
          <w:tcPr>
            <w:tcW w:w="2813" w:type="dxa"/>
            <w:tcBorders>
              <w:top w:val="single" w:sz="8" w:space="0" w:color="auto"/>
              <w:left w:val="single" w:sz="8" w:space="0" w:color="auto"/>
              <w:bottom w:val="nil"/>
              <w:right w:val="single" w:sz="8" w:space="0" w:color="auto"/>
            </w:tcBorders>
            <w:shd w:val="clear" w:color="auto" w:fill="auto"/>
            <w:vAlign w:val="center"/>
            <w:hideMark/>
          </w:tcPr>
          <w:p w:rsidR="00646600" w:rsidRPr="00646600" w:rsidRDefault="00646600" w:rsidP="00646600">
            <w:pPr>
              <w:rPr>
                <w:rFonts w:cs="Arial"/>
                <w:b/>
                <w:bCs/>
                <w:szCs w:val="24"/>
                <w:lang w:eastAsia="en-GB"/>
              </w:rPr>
            </w:pPr>
            <w:r w:rsidRPr="00646600">
              <w:rPr>
                <w:rFonts w:cs="Arial"/>
                <w:b/>
                <w:bCs/>
                <w:szCs w:val="24"/>
                <w:lang w:eastAsia="en-GB"/>
              </w:rPr>
              <w:t>Capital Financing Costs</w:t>
            </w:r>
          </w:p>
        </w:tc>
        <w:tc>
          <w:tcPr>
            <w:tcW w:w="283" w:type="dxa"/>
            <w:tcBorders>
              <w:top w:val="single" w:sz="8" w:space="0" w:color="auto"/>
              <w:left w:val="nil"/>
              <w:bottom w:val="nil"/>
              <w:right w:val="single" w:sz="8" w:space="0" w:color="auto"/>
            </w:tcBorders>
            <w:shd w:val="clear" w:color="auto" w:fill="auto"/>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084" w:type="dxa"/>
            <w:tcBorders>
              <w:top w:val="single" w:sz="8" w:space="0" w:color="auto"/>
              <w:left w:val="nil"/>
              <w:bottom w:val="nil"/>
              <w:right w:val="single" w:sz="8" w:space="0" w:color="auto"/>
            </w:tcBorders>
            <w:shd w:val="clear" w:color="auto" w:fill="auto"/>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2017/18</w:t>
            </w:r>
          </w:p>
        </w:tc>
        <w:tc>
          <w:tcPr>
            <w:tcW w:w="1173" w:type="dxa"/>
            <w:tcBorders>
              <w:top w:val="single" w:sz="8" w:space="0" w:color="auto"/>
              <w:left w:val="nil"/>
              <w:bottom w:val="nil"/>
              <w:right w:val="single" w:sz="8" w:space="0" w:color="auto"/>
            </w:tcBorders>
            <w:shd w:val="clear" w:color="auto" w:fill="auto"/>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2018/19</w:t>
            </w:r>
          </w:p>
        </w:tc>
        <w:tc>
          <w:tcPr>
            <w:tcW w:w="1191" w:type="dxa"/>
            <w:tcBorders>
              <w:top w:val="single" w:sz="8" w:space="0" w:color="auto"/>
              <w:left w:val="nil"/>
              <w:bottom w:val="nil"/>
              <w:right w:val="single" w:sz="8" w:space="0" w:color="auto"/>
            </w:tcBorders>
            <w:shd w:val="clear" w:color="auto" w:fill="auto"/>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2019/20</w:t>
            </w:r>
          </w:p>
        </w:tc>
      </w:tr>
      <w:tr w:rsidR="00646600" w:rsidRPr="00646600" w:rsidTr="00253BB4">
        <w:trPr>
          <w:trHeight w:val="330"/>
        </w:trPr>
        <w:tc>
          <w:tcPr>
            <w:tcW w:w="2813" w:type="dxa"/>
            <w:tcBorders>
              <w:top w:val="single" w:sz="8" w:space="0" w:color="auto"/>
              <w:left w:val="single" w:sz="8" w:space="0" w:color="auto"/>
              <w:bottom w:val="nil"/>
              <w:right w:val="single" w:sz="8" w:space="0" w:color="auto"/>
            </w:tcBorders>
            <w:shd w:val="clear" w:color="auto" w:fill="auto"/>
            <w:vAlign w:val="center"/>
            <w:hideMark/>
          </w:tcPr>
          <w:p w:rsidR="00646600" w:rsidRPr="00646600" w:rsidRDefault="00646600" w:rsidP="00646600">
            <w:pPr>
              <w:rPr>
                <w:rFonts w:cs="Arial"/>
                <w:b/>
                <w:bCs/>
                <w:szCs w:val="24"/>
                <w:lang w:eastAsia="en-GB"/>
              </w:rPr>
            </w:pPr>
            <w:r w:rsidRPr="00646600">
              <w:rPr>
                <w:rFonts w:cs="Arial"/>
                <w:b/>
                <w:bCs/>
                <w:szCs w:val="24"/>
                <w:lang w:eastAsia="en-GB"/>
              </w:rPr>
              <w:t> </w:t>
            </w:r>
          </w:p>
        </w:tc>
        <w:tc>
          <w:tcPr>
            <w:tcW w:w="283" w:type="dxa"/>
            <w:tcBorders>
              <w:top w:val="single" w:sz="8" w:space="0" w:color="auto"/>
              <w:left w:val="nil"/>
              <w:bottom w:val="nil"/>
              <w:right w:val="single" w:sz="8" w:space="0" w:color="auto"/>
            </w:tcBorders>
            <w:shd w:val="clear" w:color="auto" w:fill="auto"/>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084" w:type="dxa"/>
            <w:tcBorders>
              <w:top w:val="single" w:sz="8" w:space="0" w:color="auto"/>
              <w:left w:val="nil"/>
              <w:bottom w:val="nil"/>
              <w:right w:val="single" w:sz="8" w:space="0" w:color="auto"/>
            </w:tcBorders>
            <w:shd w:val="clear" w:color="auto" w:fill="auto"/>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£000</w:t>
            </w:r>
          </w:p>
        </w:tc>
        <w:tc>
          <w:tcPr>
            <w:tcW w:w="1173" w:type="dxa"/>
            <w:tcBorders>
              <w:top w:val="single" w:sz="8" w:space="0" w:color="auto"/>
              <w:left w:val="nil"/>
              <w:bottom w:val="nil"/>
              <w:right w:val="single" w:sz="8" w:space="0" w:color="auto"/>
            </w:tcBorders>
            <w:shd w:val="clear" w:color="auto" w:fill="auto"/>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£000</w:t>
            </w:r>
          </w:p>
        </w:tc>
        <w:tc>
          <w:tcPr>
            <w:tcW w:w="1191" w:type="dxa"/>
            <w:tcBorders>
              <w:top w:val="single" w:sz="8" w:space="0" w:color="auto"/>
              <w:left w:val="nil"/>
              <w:bottom w:val="nil"/>
              <w:right w:val="single" w:sz="8" w:space="0" w:color="auto"/>
            </w:tcBorders>
            <w:shd w:val="clear" w:color="auto" w:fill="auto"/>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£000</w:t>
            </w:r>
          </w:p>
        </w:tc>
      </w:tr>
      <w:tr w:rsidR="00646600" w:rsidRPr="00646600" w:rsidTr="00253BB4">
        <w:trPr>
          <w:trHeight w:val="330"/>
        </w:trPr>
        <w:tc>
          <w:tcPr>
            <w:tcW w:w="2813" w:type="dxa"/>
            <w:tcBorders>
              <w:top w:val="single" w:sz="8" w:space="0" w:color="auto"/>
              <w:left w:val="single" w:sz="8" w:space="0" w:color="auto"/>
              <w:bottom w:val="nil"/>
              <w:right w:val="single" w:sz="8" w:space="0" w:color="auto"/>
            </w:tcBorders>
            <w:shd w:val="clear" w:color="auto" w:fill="auto"/>
            <w:vAlign w:val="center"/>
            <w:hideMark/>
          </w:tcPr>
          <w:p w:rsidR="00646600" w:rsidRPr="00646600" w:rsidRDefault="00646600" w:rsidP="00646600">
            <w:pPr>
              <w:rPr>
                <w:rFonts w:cs="Arial"/>
                <w:b/>
                <w:bCs/>
                <w:szCs w:val="24"/>
                <w:lang w:eastAsia="en-GB"/>
              </w:rPr>
            </w:pPr>
            <w:r w:rsidRPr="00646600">
              <w:rPr>
                <w:rFonts w:cs="Arial"/>
                <w:b/>
                <w:bCs/>
                <w:szCs w:val="24"/>
                <w:lang w:eastAsia="en-GB"/>
              </w:rPr>
              <w:t> </w:t>
            </w:r>
          </w:p>
        </w:tc>
        <w:tc>
          <w:tcPr>
            <w:tcW w:w="283" w:type="dxa"/>
            <w:tcBorders>
              <w:top w:val="single" w:sz="8" w:space="0" w:color="auto"/>
              <w:left w:val="nil"/>
              <w:bottom w:val="nil"/>
              <w:right w:val="single" w:sz="8" w:space="0" w:color="auto"/>
            </w:tcBorders>
            <w:shd w:val="clear" w:color="auto" w:fill="auto"/>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084" w:type="dxa"/>
            <w:tcBorders>
              <w:top w:val="single" w:sz="8" w:space="0" w:color="auto"/>
              <w:left w:val="nil"/>
              <w:bottom w:val="nil"/>
              <w:right w:val="single" w:sz="8" w:space="0" w:color="auto"/>
            </w:tcBorders>
            <w:shd w:val="clear" w:color="auto" w:fill="auto"/>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173" w:type="dxa"/>
            <w:tcBorders>
              <w:top w:val="single" w:sz="8" w:space="0" w:color="auto"/>
              <w:left w:val="nil"/>
              <w:bottom w:val="nil"/>
              <w:right w:val="single" w:sz="8" w:space="0" w:color="auto"/>
            </w:tcBorders>
            <w:shd w:val="clear" w:color="auto" w:fill="auto"/>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191" w:type="dxa"/>
            <w:tcBorders>
              <w:top w:val="single" w:sz="8" w:space="0" w:color="auto"/>
              <w:left w:val="nil"/>
              <w:bottom w:val="nil"/>
              <w:right w:val="single" w:sz="8" w:space="0" w:color="auto"/>
            </w:tcBorders>
            <w:shd w:val="clear" w:color="auto" w:fill="auto"/>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r>
      <w:tr w:rsidR="00646600" w:rsidRPr="00646600" w:rsidTr="00253BB4">
        <w:trPr>
          <w:trHeight w:val="330"/>
        </w:trPr>
        <w:tc>
          <w:tcPr>
            <w:tcW w:w="2813" w:type="dxa"/>
            <w:tcBorders>
              <w:top w:val="single" w:sz="8" w:space="0" w:color="auto"/>
              <w:left w:val="single" w:sz="8" w:space="0" w:color="auto"/>
              <w:bottom w:val="nil"/>
              <w:right w:val="single" w:sz="8" w:space="0" w:color="auto"/>
            </w:tcBorders>
            <w:shd w:val="clear" w:color="000000" w:fill="BFBFBF"/>
            <w:vAlign w:val="center"/>
            <w:hideMark/>
          </w:tcPr>
          <w:p w:rsidR="00646600" w:rsidRPr="00646600" w:rsidRDefault="00646600" w:rsidP="00646600">
            <w:pPr>
              <w:rPr>
                <w:rFonts w:cs="Arial"/>
                <w:b/>
                <w:bCs/>
                <w:szCs w:val="24"/>
                <w:lang w:eastAsia="en-GB"/>
              </w:rPr>
            </w:pPr>
            <w:r w:rsidRPr="00646600">
              <w:rPr>
                <w:rFonts w:cs="Arial"/>
                <w:b/>
                <w:bCs/>
                <w:szCs w:val="24"/>
                <w:lang w:eastAsia="en-GB"/>
              </w:rPr>
              <w:t>Total MRP</w:t>
            </w:r>
          </w:p>
        </w:tc>
        <w:tc>
          <w:tcPr>
            <w:tcW w:w="283" w:type="dxa"/>
            <w:tcBorders>
              <w:top w:val="single" w:sz="8" w:space="0" w:color="auto"/>
              <w:left w:val="nil"/>
              <w:bottom w:val="nil"/>
              <w:right w:val="single" w:sz="8" w:space="0" w:color="auto"/>
            </w:tcBorders>
            <w:shd w:val="clear" w:color="000000" w:fill="BFBFB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084" w:type="dxa"/>
            <w:tcBorders>
              <w:top w:val="single" w:sz="8" w:space="0" w:color="auto"/>
              <w:left w:val="nil"/>
              <w:bottom w:val="nil"/>
              <w:right w:val="single" w:sz="8" w:space="0" w:color="auto"/>
            </w:tcBorders>
            <w:shd w:val="clear" w:color="000000" w:fill="BFBFB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0</w:t>
            </w:r>
          </w:p>
        </w:tc>
        <w:tc>
          <w:tcPr>
            <w:tcW w:w="1173" w:type="dxa"/>
            <w:tcBorders>
              <w:top w:val="single" w:sz="8" w:space="0" w:color="auto"/>
              <w:left w:val="nil"/>
              <w:bottom w:val="nil"/>
              <w:right w:val="single" w:sz="8" w:space="0" w:color="auto"/>
            </w:tcBorders>
            <w:shd w:val="clear" w:color="000000" w:fill="BFBFB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1,014</w:t>
            </w:r>
          </w:p>
        </w:tc>
        <w:tc>
          <w:tcPr>
            <w:tcW w:w="1191" w:type="dxa"/>
            <w:tcBorders>
              <w:top w:val="single" w:sz="8" w:space="0" w:color="auto"/>
              <w:left w:val="nil"/>
              <w:bottom w:val="nil"/>
              <w:right w:val="single" w:sz="8" w:space="0" w:color="auto"/>
            </w:tcBorders>
            <w:shd w:val="clear" w:color="000000" w:fill="BFBFB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1,879</w:t>
            </w:r>
          </w:p>
        </w:tc>
      </w:tr>
      <w:tr w:rsidR="00646600" w:rsidRPr="00646600" w:rsidTr="00253BB4">
        <w:trPr>
          <w:trHeight w:val="330"/>
        </w:trPr>
        <w:tc>
          <w:tcPr>
            <w:tcW w:w="2813" w:type="dxa"/>
            <w:tcBorders>
              <w:top w:val="single" w:sz="8" w:space="0" w:color="auto"/>
              <w:left w:val="single" w:sz="8" w:space="0" w:color="auto"/>
              <w:bottom w:val="nil"/>
              <w:right w:val="single" w:sz="8" w:space="0" w:color="auto"/>
            </w:tcBorders>
            <w:shd w:val="clear" w:color="000000" w:fill="FFFFFF"/>
            <w:vAlign w:val="center"/>
            <w:hideMark/>
          </w:tcPr>
          <w:p w:rsidR="00646600" w:rsidRPr="00646600" w:rsidRDefault="00646600" w:rsidP="00646600">
            <w:pPr>
              <w:rPr>
                <w:rFonts w:cs="Arial"/>
                <w:b/>
                <w:bCs/>
                <w:szCs w:val="24"/>
                <w:lang w:eastAsia="en-GB"/>
              </w:rPr>
            </w:pPr>
            <w:r w:rsidRPr="00646600">
              <w:rPr>
                <w:rFonts w:cs="Arial"/>
                <w:b/>
                <w:bCs/>
                <w:szCs w:val="24"/>
                <w:lang w:eastAsia="en-GB"/>
              </w:rPr>
              <w:t> </w:t>
            </w:r>
          </w:p>
        </w:tc>
        <w:tc>
          <w:tcPr>
            <w:tcW w:w="283" w:type="dxa"/>
            <w:tcBorders>
              <w:top w:val="single" w:sz="8" w:space="0" w:color="auto"/>
              <w:left w:val="nil"/>
              <w:bottom w:val="nil"/>
              <w:right w:val="single" w:sz="8" w:space="0" w:color="auto"/>
            </w:tcBorders>
            <w:shd w:val="clear" w:color="000000" w:fill="FFFFF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084" w:type="dxa"/>
            <w:tcBorders>
              <w:top w:val="single" w:sz="8" w:space="0" w:color="auto"/>
              <w:left w:val="nil"/>
              <w:bottom w:val="nil"/>
              <w:right w:val="single" w:sz="8" w:space="0" w:color="auto"/>
            </w:tcBorders>
            <w:shd w:val="clear" w:color="000000" w:fill="FFFFF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173" w:type="dxa"/>
            <w:tcBorders>
              <w:top w:val="single" w:sz="8" w:space="0" w:color="auto"/>
              <w:left w:val="nil"/>
              <w:bottom w:val="nil"/>
              <w:right w:val="single" w:sz="8" w:space="0" w:color="auto"/>
            </w:tcBorders>
            <w:shd w:val="clear" w:color="000000" w:fill="FFFFF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191" w:type="dxa"/>
            <w:tcBorders>
              <w:top w:val="single" w:sz="8" w:space="0" w:color="auto"/>
              <w:left w:val="nil"/>
              <w:bottom w:val="nil"/>
              <w:right w:val="single" w:sz="8" w:space="0" w:color="auto"/>
            </w:tcBorders>
            <w:shd w:val="clear" w:color="000000" w:fill="FFFFF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r>
      <w:tr w:rsidR="00646600" w:rsidRPr="00646600" w:rsidTr="00253BB4">
        <w:trPr>
          <w:trHeight w:val="330"/>
        </w:trPr>
        <w:tc>
          <w:tcPr>
            <w:tcW w:w="2813" w:type="dxa"/>
            <w:tcBorders>
              <w:top w:val="single" w:sz="8" w:space="0" w:color="auto"/>
              <w:left w:val="single" w:sz="8" w:space="0" w:color="auto"/>
              <w:bottom w:val="nil"/>
              <w:right w:val="single" w:sz="8" w:space="0" w:color="auto"/>
            </w:tcBorders>
            <w:shd w:val="clear" w:color="000000" w:fill="BFBFBF"/>
            <w:vAlign w:val="center"/>
            <w:hideMark/>
          </w:tcPr>
          <w:p w:rsidR="00646600" w:rsidRPr="00646600" w:rsidRDefault="00646600" w:rsidP="00646600">
            <w:pPr>
              <w:rPr>
                <w:rFonts w:cs="Arial"/>
                <w:b/>
                <w:bCs/>
                <w:szCs w:val="24"/>
                <w:lang w:eastAsia="en-GB"/>
              </w:rPr>
            </w:pPr>
            <w:r w:rsidRPr="00646600">
              <w:rPr>
                <w:rFonts w:cs="Arial"/>
                <w:b/>
                <w:bCs/>
                <w:szCs w:val="24"/>
                <w:lang w:eastAsia="en-GB"/>
              </w:rPr>
              <w:t>Total Interest</w:t>
            </w:r>
          </w:p>
        </w:tc>
        <w:tc>
          <w:tcPr>
            <w:tcW w:w="283" w:type="dxa"/>
            <w:tcBorders>
              <w:top w:val="single" w:sz="8" w:space="0" w:color="auto"/>
              <w:left w:val="nil"/>
              <w:bottom w:val="nil"/>
              <w:right w:val="single" w:sz="8" w:space="0" w:color="auto"/>
            </w:tcBorders>
            <w:shd w:val="clear" w:color="000000" w:fill="BFBFB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084" w:type="dxa"/>
            <w:tcBorders>
              <w:top w:val="single" w:sz="8" w:space="0" w:color="auto"/>
              <w:left w:val="nil"/>
              <w:bottom w:val="nil"/>
              <w:right w:val="single" w:sz="8" w:space="0" w:color="auto"/>
            </w:tcBorders>
            <w:shd w:val="clear" w:color="000000" w:fill="BFBFB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295</w:t>
            </w:r>
          </w:p>
        </w:tc>
        <w:tc>
          <w:tcPr>
            <w:tcW w:w="1173" w:type="dxa"/>
            <w:tcBorders>
              <w:top w:val="single" w:sz="8" w:space="0" w:color="auto"/>
              <w:left w:val="nil"/>
              <w:bottom w:val="nil"/>
              <w:right w:val="single" w:sz="8" w:space="0" w:color="auto"/>
            </w:tcBorders>
            <w:shd w:val="clear" w:color="000000" w:fill="BFBFB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862</w:t>
            </w:r>
          </w:p>
        </w:tc>
        <w:tc>
          <w:tcPr>
            <w:tcW w:w="1191" w:type="dxa"/>
            <w:tcBorders>
              <w:top w:val="single" w:sz="8" w:space="0" w:color="auto"/>
              <w:left w:val="nil"/>
              <w:bottom w:val="nil"/>
              <w:right w:val="single" w:sz="8" w:space="0" w:color="auto"/>
            </w:tcBorders>
            <w:shd w:val="clear" w:color="000000" w:fill="BFBFB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1,238</w:t>
            </w:r>
          </w:p>
        </w:tc>
      </w:tr>
      <w:tr w:rsidR="00646600" w:rsidRPr="00646600" w:rsidTr="00253BB4">
        <w:trPr>
          <w:trHeight w:val="330"/>
        </w:trPr>
        <w:tc>
          <w:tcPr>
            <w:tcW w:w="2813" w:type="dxa"/>
            <w:tcBorders>
              <w:top w:val="single" w:sz="8" w:space="0" w:color="auto"/>
              <w:left w:val="single" w:sz="8" w:space="0" w:color="auto"/>
              <w:bottom w:val="nil"/>
              <w:right w:val="single" w:sz="8" w:space="0" w:color="auto"/>
            </w:tcBorders>
            <w:shd w:val="clear" w:color="000000" w:fill="FFFFFF"/>
            <w:vAlign w:val="center"/>
            <w:hideMark/>
          </w:tcPr>
          <w:p w:rsidR="00646600" w:rsidRPr="00646600" w:rsidRDefault="00646600" w:rsidP="00646600">
            <w:pPr>
              <w:rPr>
                <w:rFonts w:cs="Arial"/>
                <w:b/>
                <w:bCs/>
                <w:szCs w:val="24"/>
                <w:lang w:eastAsia="en-GB"/>
              </w:rPr>
            </w:pPr>
            <w:r w:rsidRPr="00646600">
              <w:rPr>
                <w:rFonts w:cs="Arial"/>
                <w:b/>
                <w:bCs/>
                <w:szCs w:val="24"/>
                <w:lang w:eastAsia="en-GB"/>
              </w:rPr>
              <w:t> </w:t>
            </w:r>
          </w:p>
        </w:tc>
        <w:tc>
          <w:tcPr>
            <w:tcW w:w="283" w:type="dxa"/>
            <w:tcBorders>
              <w:top w:val="single" w:sz="8" w:space="0" w:color="auto"/>
              <w:left w:val="nil"/>
              <w:bottom w:val="nil"/>
              <w:right w:val="single" w:sz="8" w:space="0" w:color="auto"/>
            </w:tcBorders>
            <w:shd w:val="clear" w:color="000000" w:fill="FFFFF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084" w:type="dxa"/>
            <w:tcBorders>
              <w:top w:val="single" w:sz="8" w:space="0" w:color="auto"/>
              <w:left w:val="nil"/>
              <w:bottom w:val="nil"/>
              <w:right w:val="single" w:sz="8" w:space="0" w:color="auto"/>
            </w:tcBorders>
            <w:shd w:val="clear" w:color="000000" w:fill="FFFFF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173" w:type="dxa"/>
            <w:tcBorders>
              <w:top w:val="single" w:sz="8" w:space="0" w:color="auto"/>
              <w:left w:val="nil"/>
              <w:bottom w:val="nil"/>
              <w:right w:val="single" w:sz="8" w:space="0" w:color="auto"/>
            </w:tcBorders>
            <w:shd w:val="clear" w:color="000000" w:fill="FFFFF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191" w:type="dxa"/>
            <w:tcBorders>
              <w:top w:val="single" w:sz="8" w:space="0" w:color="auto"/>
              <w:left w:val="nil"/>
              <w:bottom w:val="nil"/>
              <w:right w:val="single" w:sz="8" w:space="0" w:color="auto"/>
            </w:tcBorders>
            <w:shd w:val="clear" w:color="000000" w:fill="FFFFF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r>
      <w:tr w:rsidR="00646600" w:rsidRPr="00646600" w:rsidTr="00253BB4">
        <w:trPr>
          <w:trHeight w:val="510"/>
        </w:trPr>
        <w:tc>
          <w:tcPr>
            <w:tcW w:w="281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46600" w:rsidRPr="00646600" w:rsidRDefault="00646600" w:rsidP="00646600">
            <w:pPr>
              <w:rPr>
                <w:rFonts w:cs="Arial"/>
                <w:b/>
                <w:bCs/>
                <w:szCs w:val="24"/>
                <w:lang w:eastAsia="en-GB"/>
              </w:rPr>
            </w:pPr>
            <w:r w:rsidRPr="00646600">
              <w:rPr>
                <w:rFonts w:cs="Arial"/>
                <w:b/>
                <w:bCs/>
                <w:szCs w:val="24"/>
                <w:lang w:eastAsia="en-GB"/>
              </w:rPr>
              <w:t>Total Capital Financing Costs</w:t>
            </w:r>
          </w:p>
        </w:tc>
        <w:tc>
          <w:tcPr>
            <w:tcW w:w="283" w:type="dxa"/>
            <w:tcBorders>
              <w:top w:val="single" w:sz="8" w:space="0" w:color="auto"/>
              <w:left w:val="nil"/>
              <w:bottom w:val="single" w:sz="8" w:space="0" w:color="auto"/>
              <w:right w:val="single" w:sz="8" w:space="0" w:color="auto"/>
            </w:tcBorders>
            <w:shd w:val="clear" w:color="auto" w:fill="auto"/>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 </w:t>
            </w:r>
          </w:p>
        </w:tc>
        <w:tc>
          <w:tcPr>
            <w:tcW w:w="1084" w:type="dxa"/>
            <w:tcBorders>
              <w:top w:val="single" w:sz="8" w:space="0" w:color="auto"/>
              <w:left w:val="nil"/>
              <w:bottom w:val="single" w:sz="8" w:space="0" w:color="auto"/>
              <w:right w:val="single" w:sz="8" w:space="0" w:color="auto"/>
            </w:tcBorders>
            <w:shd w:val="clear" w:color="000000" w:fill="BFBFB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295</w:t>
            </w:r>
          </w:p>
        </w:tc>
        <w:tc>
          <w:tcPr>
            <w:tcW w:w="1173" w:type="dxa"/>
            <w:tcBorders>
              <w:top w:val="single" w:sz="8" w:space="0" w:color="auto"/>
              <w:left w:val="nil"/>
              <w:bottom w:val="single" w:sz="8" w:space="0" w:color="auto"/>
              <w:right w:val="single" w:sz="8" w:space="0" w:color="auto"/>
            </w:tcBorders>
            <w:shd w:val="clear" w:color="000000" w:fill="BFBFBF"/>
            <w:vAlign w:val="center"/>
            <w:hideMark/>
          </w:tcPr>
          <w:p w:rsidR="00646600" w:rsidRPr="00646600" w:rsidRDefault="00646600" w:rsidP="00646600">
            <w:pPr>
              <w:jc w:val="right"/>
              <w:rPr>
                <w:rFonts w:cs="Arial"/>
                <w:b/>
                <w:bCs/>
                <w:szCs w:val="24"/>
                <w:lang w:eastAsia="en-GB"/>
              </w:rPr>
            </w:pPr>
            <w:r w:rsidRPr="00646600">
              <w:rPr>
                <w:rFonts w:cs="Arial"/>
                <w:b/>
                <w:bCs/>
                <w:szCs w:val="24"/>
                <w:lang w:eastAsia="en-GB"/>
              </w:rPr>
              <w:t>1,876</w:t>
            </w:r>
          </w:p>
        </w:tc>
        <w:tc>
          <w:tcPr>
            <w:tcW w:w="1191" w:type="dxa"/>
            <w:tcBorders>
              <w:top w:val="single" w:sz="8" w:space="0" w:color="auto"/>
              <w:left w:val="nil"/>
              <w:bottom w:val="single" w:sz="8" w:space="0" w:color="auto"/>
              <w:right w:val="single" w:sz="8" w:space="0" w:color="auto"/>
            </w:tcBorders>
            <w:shd w:val="clear" w:color="000000" w:fill="BFBFBF"/>
            <w:vAlign w:val="center"/>
            <w:hideMark/>
          </w:tcPr>
          <w:p w:rsidR="00646600" w:rsidRPr="00646600" w:rsidRDefault="00646600" w:rsidP="009620E2">
            <w:pPr>
              <w:jc w:val="right"/>
              <w:rPr>
                <w:rFonts w:cs="Arial"/>
                <w:b/>
                <w:bCs/>
                <w:szCs w:val="24"/>
                <w:lang w:eastAsia="en-GB"/>
              </w:rPr>
            </w:pPr>
            <w:r w:rsidRPr="00646600">
              <w:rPr>
                <w:rFonts w:cs="Arial"/>
                <w:b/>
                <w:bCs/>
                <w:szCs w:val="24"/>
                <w:lang w:eastAsia="en-GB"/>
              </w:rPr>
              <w:t>3,11</w:t>
            </w:r>
            <w:r w:rsidR="009620E2">
              <w:rPr>
                <w:rFonts w:cs="Arial"/>
                <w:b/>
                <w:bCs/>
                <w:szCs w:val="24"/>
                <w:lang w:eastAsia="en-GB"/>
              </w:rPr>
              <w:t>7</w:t>
            </w:r>
          </w:p>
        </w:tc>
      </w:tr>
    </w:tbl>
    <w:p w:rsidR="003B44AD" w:rsidRPr="00B14937" w:rsidRDefault="003B44AD" w:rsidP="000C14C9">
      <w:pPr>
        <w:spacing w:after="120"/>
        <w:jc w:val="both"/>
        <w:rPr>
          <w:rFonts w:cs="Arial"/>
          <w:b/>
          <w:bCs/>
          <w:sz w:val="22"/>
          <w:szCs w:val="22"/>
        </w:rPr>
      </w:pPr>
    </w:p>
    <w:p w:rsidR="00DB0292" w:rsidRDefault="000C14C9" w:rsidP="000C14C9">
      <w:pPr>
        <w:numPr>
          <w:ilvl w:val="0"/>
          <w:numId w:val="27"/>
        </w:numPr>
        <w:tabs>
          <w:tab w:val="clear" w:pos="360"/>
          <w:tab w:val="num" w:pos="567"/>
          <w:tab w:val="num" w:pos="1985"/>
        </w:tabs>
        <w:spacing w:after="240"/>
        <w:ind w:left="567" w:hanging="567"/>
        <w:jc w:val="both"/>
        <w:rPr>
          <w:rFonts w:cs="Arial"/>
          <w:szCs w:val="24"/>
        </w:rPr>
      </w:pPr>
      <w:r w:rsidRPr="000D4DCF">
        <w:rPr>
          <w:rFonts w:cs="Arial"/>
          <w:szCs w:val="24"/>
        </w:rPr>
        <w:t xml:space="preserve">The table above reflects the </w:t>
      </w:r>
      <w:r w:rsidR="00DB0292">
        <w:rPr>
          <w:rFonts w:cs="Arial"/>
          <w:szCs w:val="24"/>
        </w:rPr>
        <w:t xml:space="preserve">total </w:t>
      </w:r>
      <w:r w:rsidRPr="000D4DCF">
        <w:rPr>
          <w:rFonts w:cs="Arial"/>
          <w:szCs w:val="24"/>
        </w:rPr>
        <w:t xml:space="preserve">cost in each year of financing </w:t>
      </w:r>
      <w:r w:rsidR="007F4BDA">
        <w:rPr>
          <w:rFonts w:cs="Arial"/>
          <w:szCs w:val="24"/>
        </w:rPr>
        <w:t xml:space="preserve">the </w:t>
      </w:r>
      <w:r w:rsidRPr="000D4DCF">
        <w:rPr>
          <w:rFonts w:cs="Arial"/>
          <w:szCs w:val="24"/>
        </w:rPr>
        <w:t>201</w:t>
      </w:r>
      <w:r w:rsidR="003B44AD">
        <w:rPr>
          <w:rFonts w:cs="Arial"/>
          <w:szCs w:val="24"/>
        </w:rPr>
        <w:t>7</w:t>
      </w:r>
      <w:r w:rsidRPr="000D4DCF">
        <w:rPr>
          <w:rFonts w:cs="Arial"/>
          <w:szCs w:val="24"/>
        </w:rPr>
        <w:t>/1</w:t>
      </w:r>
      <w:r w:rsidR="003B44AD">
        <w:rPr>
          <w:rFonts w:cs="Arial"/>
          <w:szCs w:val="24"/>
        </w:rPr>
        <w:t>8</w:t>
      </w:r>
      <w:r w:rsidRPr="000D4DCF">
        <w:rPr>
          <w:rFonts w:cs="Arial"/>
          <w:szCs w:val="24"/>
        </w:rPr>
        <w:t xml:space="preserve"> to 2019/20</w:t>
      </w:r>
      <w:r w:rsidR="007F4BDA">
        <w:rPr>
          <w:rFonts w:cs="Arial"/>
          <w:szCs w:val="24"/>
        </w:rPr>
        <w:t xml:space="preserve"> additions to the </w:t>
      </w:r>
      <w:r w:rsidRPr="000D4DCF">
        <w:rPr>
          <w:rFonts w:cs="Arial"/>
          <w:szCs w:val="24"/>
        </w:rPr>
        <w:t xml:space="preserve">programme. </w:t>
      </w:r>
      <w:r w:rsidR="00DB0292">
        <w:rPr>
          <w:rFonts w:cs="Arial"/>
          <w:szCs w:val="24"/>
        </w:rPr>
        <w:t xml:space="preserve">The </w:t>
      </w:r>
      <w:r w:rsidR="00D15CFA">
        <w:rPr>
          <w:rFonts w:cs="Arial"/>
          <w:szCs w:val="24"/>
        </w:rPr>
        <w:t xml:space="preserve">incremental </w:t>
      </w:r>
      <w:r w:rsidR="00E23647">
        <w:rPr>
          <w:rFonts w:cs="Arial"/>
          <w:szCs w:val="24"/>
        </w:rPr>
        <w:t xml:space="preserve">revenue budget </w:t>
      </w:r>
      <w:r w:rsidR="00D15CFA">
        <w:rPr>
          <w:rFonts w:cs="Arial"/>
          <w:szCs w:val="24"/>
        </w:rPr>
        <w:t xml:space="preserve">increases </w:t>
      </w:r>
      <w:r w:rsidR="00E23647">
        <w:rPr>
          <w:rFonts w:cs="Arial"/>
          <w:szCs w:val="24"/>
        </w:rPr>
        <w:t xml:space="preserve">included in the MTFS for each </w:t>
      </w:r>
      <w:r w:rsidR="00DB0292">
        <w:rPr>
          <w:rFonts w:cs="Arial"/>
          <w:szCs w:val="24"/>
        </w:rPr>
        <w:t>year is as follows: £2</w:t>
      </w:r>
      <w:r w:rsidR="00646600">
        <w:rPr>
          <w:rFonts w:cs="Arial"/>
          <w:szCs w:val="24"/>
        </w:rPr>
        <w:t>95</w:t>
      </w:r>
      <w:r w:rsidR="00DB0292">
        <w:rPr>
          <w:rFonts w:cs="Arial"/>
          <w:szCs w:val="24"/>
        </w:rPr>
        <w:t>k 2017/18, £</w:t>
      </w:r>
      <w:r w:rsidR="00646600">
        <w:rPr>
          <w:rFonts w:cs="Arial"/>
          <w:szCs w:val="24"/>
        </w:rPr>
        <w:t>1.581m</w:t>
      </w:r>
      <w:r w:rsidR="00DB0292">
        <w:rPr>
          <w:rFonts w:cs="Arial"/>
          <w:szCs w:val="24"/>
        </w:rPr>
        <w:t xml:space="preserve"> 2018/19 and £</w:t>
      </w:r>
      <w:r w:rsidR="00646600">
        <w:rPr>
          <w:rFonts w:cs="Arial"/>
          <w:szCs w:val="24"/>
        </w:rPr>
        <w:t>1.24</w:t>
      </w:r>
      <w:r w:rsidR="009620E2">
        <w:rPr>
          <w:rFonts w:cs="Arial"/>
          <w:szCs w:val="24"/>
        </w:rPr>
        <w:t>1</w:t>
      </w:r>
      <w:r w:rsidR="00DB0292">
        <w:rPr>
          <w:rFonts w:cs="Arial"/>
          <w:szCs w:val="24"/>
        </w:rPr>
        <w:t xml:space="preserve">m 2019/20. </w:t>
      </w:r>
    </w:p>
    <w:p w:rsidR="000C14C9" w:rsidRPr="000D4DCF" w:rsidRDefault="000C14C9" w:rsidP="000C14C9">
      <w:pPr>
        <w:numPr>
          <w:ilvl w:val="0"/>
          <w:numId w:val="27"/>
        </w:numPr>
        <w:tabs>
          <w:tab w:val="clear" w:pos="360"/>
          <w:tab w:val="num" w:pos="567"/>
          <w:tab w:val="num" w:pos="1985"/>
        </w:tabs>
        <w:spacing w:after="240"/>
        <w:ind w:left="567" w:hanging="567"/>
        <w:jc w:val="both"/>
        <w:rPr>
          <w:rFonts w:cs="Arial"/>
          <w:szCs w:val="24"/>
        </w:rPr>
      </w:pPr>
      <w:r w:rsidRPr="000D4DCF">
        <w:rPr>
          <w:rFonts w:cs="Arial"/>
          <w:szCs w:val="24"/>
        </w:rPr>
        <w:t>There is no MRP impact in 201</w:t>
      </w:r>
      <w:r w:rsidR="003B44AD">
        <w:rPr>
          <w:rFonts w:cs="Arial"/>
          <w:szCs w:val="24"/>
        </w:rPr>
        <w:t>7</w:t>
      </w:r>
      <w:r w:rsidRPr="000D4DCF">
        <w:rPr>
          <w:rFonts w:cs="Arial"/>
          <w:szCs w:val="24"/>
        </w:rPr>
        <w:t>/1</w:t>
      </w:r>
      <w:r w:rsidR="003B44AD">
        <w:rPr>
          <w:rFonts w:cs="Arial"/>
          <w:szCs w:val="24"/>
        </w:rPr>
        <w:t>8</w:t>
      </w:r>
      <w:r w:rsidRPr="000D4DCF">
        <w:rPr>
          <w:rFonts w:cs="Arial"/>
          <w:szCs w:val="24"/>
        </w:rPr>
        <w:t xml:space="preserve"> as MRP in relation to expenditure in 201</w:t>
      </w:r>
      <w:r w:rsidR="003B44AD">
        <w:rPr>
          <w:rFonts w:cs="Arial"/>
          <w:szCs w:val="24"/>
        </w:rPr>
        <w:t>7</w:t>
      </w:r>
      <w:r w:rsidRPr="000D4DCF">
        <w:rPr>
          <w:rFonts w:cs="Arial"/>
          <w:szCs w:val="24"/>
        </w:rPr>
        <w:t>/1</w:t>
      </w:r>
      <w:r w:rsidR="003B44AD">
        <w:rPr>
          <w:rFonts w:cs="Arial"/>
          <w:szCs w:val="24"/>
        </w:rPr>
        <w:t>8</w:t>
      </w:r>
      <w:r w:rsidRPr="000D4DCF">
        <w:rPr>
          <w:rFonts w:cs="Arial"/>
          <w:szCs w:val="24"/>
        </w:rPr>
        <w:t xml:space="preserve"> does not commence until 201</w:t>
      </w:r>
      <w:r w:rsidR="003B44AD">
        <w:rPr>
          <w:rFonts w:cs="Arial"/>
          <w:szCs w:val="24"/>
        </w:rPr>
        <w:t>8</w:t>
      </w:r>
      <w:r w:rsidRPr="000D4DCF">
        <w:rPr>
          <w:rFonts w:cs="Arial"/>
          <w:szCs w:val="24"/>
        </w:rPr>
        <w:t>/1</w:t>
      </w:r>
      <w:r w:rsidR="003B44AD">
        <w:rPr>
          <w:rFonts w:cs="Arial"/>
          <w:szCs w:val="24"/>
        </w:rPr>
        <w:t>9</w:t>
      </w:r>
      <w:r w:rsidRPr="000D4DCF">
        <w:rPr>
          <w:rFonts w:cs="Arial"/>
          <w:szCs w:val="24"/>
        </w:rPr>
        <w:t xml:space="preserve">.   </w:t>
      </w:r>
    </w:p>
    <w:p w:rsidR="000C14C9" w:rsidRPr="00105B2C" w:rsidRDefault="000C14C9" w:rsidP="000C14C9">
      <w:pPr>
        <w:numPr>
          <w:ilvl w:val="0"/>
          <w:numId w:val="27"/>
        </w:numPr>
        <w:tabs>
          <w:tab w:val="clear" w:pos="360"/>
          <w:tab w:val="num" w:pos="567"/>
          <w:tab w:val="num" w:pos="1985"/>
        </w:tabs>
        <w:ind w:left="567" w:hanging="567"/>
        <w:jc w:val="both"/>
        <w:rPr>
          <w:rFonts w:cs="Arial"/>
          <w:szCs w:val="24"/>
        </w:rPr>
      </w:pPr>
      <w:r w:rsidRPr="00105B2C">
        <w:rPr>
          <w:rFonts w:cs="Arial"/>
          <w:szCs w:val="24"/>
        </w:rPr>
        <w:t xml:space="preserve">It should be noted that the capital financing costs are based on a number of assumptions about the level of capital expenditure, timing of any borrowing, </w:t>
      </w:r>
      <w:r w:rsidR="00693072">
        <w:rPr>
          <w:rFonts w:cs="Arial"/>
          <w:szCs w:val="24"/>
        </w:rPr>
        <w:t xml:space="preserve">PWLB </w:t>
      </w:r>
      <w:r w:rsidRPr="00105B2C">
        <w:rPr>
          <w:rFonts w:cs="Arial"/>
          <w:szCs w:val="24"/>
        </w:rPr>
        <w:t>interest rates</w:t>
      </w:r>
      <w:r w:rsidR="00693072">
        <w:rPr>
          <w:rFonts w:cs="Arial"/>
          <w:szCs w:val="24"/>
        </w:rPr>
        <w:t xml:space="preserve"> (current rates used at time of writing the report) </w:t>
      </w:r>
      <w:r w:rsidRPr="00105B2C">
        <w:rPr>
          <w:rFonts w:cs="Arial"/>
          <w:szCs w:val="24"/>
        </w:rPr>
        <w:t xml:space="preserve">and </w:t>
      </w:r>
      <w:r w:rsidR="00693072">
        <w:rPr>
          <w:rFonts w:cs="Arial"/>
          <w:szCs w:val="24"/>
        </w:rPr>
        <w:t>asset lives used in estimating</w:t>
      </w:r>
      <w:r w:rsidRPr="00105B2C">
        <w:rPr>
          <w:rFonts w:cs="Arial"/>
          <w:szCs w:val="24"/>
        </w:rPr>
        <w:t xml:space="preserve"> of the minimum revenue provision. The revenue budget reflects the best estim</w:t>
      </w:r>
      <w:r w:rsidR="00D47AA9">
        <w:rPr>
          <w:rFonts w:cs="Arial"/>
          <w:szCs w:val="24"/>
        </w:rPr>
        <w:t>ate based on these assumptions</w:t>
      </w:r>
      <w:r w:rsidR="00B74FD0">
        <w:rPr>
          <w:rFonts w:cs="Arial"/>
          <w:szCs w:val="24"/>
        </w:rPr>
        <w:t>.</w:t>
      </w:r>
    </w:p>
    <w:p w:rsidR="003B44AD" w:rsidRDefault="003B44AD" w:rsidP="00B57442">
      <w:pPr>
        <w:tabs>
          <w:tab w:val="num" w:pos="1560"/>
        </w:tabs>
        <w:jc w:val="both"/>
      </w:pPr>
    </w:p>
    <w:p w:rsidR="00735B7E" w:rsidRDefault="00735B7E" w:rsidP="00B57442">
      <w:pPr>
        <w:tabs>
          <w:tab w:val="num" w:pos="1560"/>
        </w:tabs>
        <w:ind w:left="567"/>
        <w:jc w:val="both"/>
        <w:rPr>
          <w:b/>
        </w:rPr>
      </w:pPr>
    </w:p>
    <w:p w:rsidR="00B57442" w:rsidRPr="000C14C9" w:rsidRDefault="00227FA6" w:rsidP="00B57442">
      <w:pPr>
        <w:tabs>
          <w:tab w:val="num" w:pos="1560"/>
        </w:tabs>
        <w:ind w:left="567"/>
        <w:jc w:val="both"/>
        <w:rPr>
          <w:b/>
        </w:rPr>
      </w:pPr>
      <w:r>
        <w:rPr>
          <w:b/>
        </w:rPr>
        <w:t xml:space="preserve">The </w:t>
      </w:r>
      <w:r w:rsidR="001D438F" w:rsidRPr="000C14C9">
        <w:rPr>
          <w:b/>
        </w:rPr>
        <w:t xml:space="preserve">Capital programme </w:t>
      </w:r>
      <w:r>
        <w:rPr>
          <w:b/>
        </w:rPr>
        <w:t>2017/18 to 2019/20</w:t>
      </w:r>
      <w:r w:rsidR="001D438F" w:rsidRPr="000C14C9">
        <w:rPr>
          <w:b/>
        </w:rPr>
        <w:t xml:space="preserve"> </w:t>
      </w:r>
    </w:p>
    <w:p w:rsidR="00646600" w:rsidRPr="00684A84" w:rsidRDefault="00227FA6" w:rsidP="00253BB4">
      <w:pPr>
        <w:numPr>
          <w:ilvl w:val="0"/>
          <w:numId w:val="27"/>
        </w:numPr>
        <w:tabs>
          <w:tab w:val="clear" w:pos="360"/>
          <w:tab w:val="num" w:pos="993"/>
          <w:tab w:val="num" w:pos="1560"/>
        </w:tabs>
        <w:ind w:left="567" w:hanging="567"/>
        <w:jc w:val="both"/>
      </w:pPr>
      <w:r w:rsidRPr="001753D8">
        <w:rPr>
          <w:rFonts w:cs="Arial"/>
          <w:szCs w:val="24"/>
        </w:rPr>
        <w:t>The final Capital programme report submitted to Cabinet and Council in February each year</w:t>
      </w:r>
      <w:r w:rsidR="00FD7075" w:rsidRPr="001753D8">
        <w:rPr>
          <w:rFonts w:cs="Arial"/>
          <w:szCs w:val="24"/>
        </w:rPr>
        <w:t xml:space="preserve"> sets out spending plans for the period of the MTFS so usually 3 or 4 years. </w:t>
      </w:r>
      <w:r w:rsidR="001753D8" w:rsidRPr="001753D8">
        <w:rPr>
          <w:rFonts w:cs="Arial"/>
          <w:szCs w:val="24"/>
        </w:rPr>
        <w:t xml:space="preserve">Once the Capital Programme is agreed by Cabinet and Council in February each year, the Capital programme is reviewed as part of the Annual Budget Setting process. </w:t>
      </w:r>
      <w:r w:rsidR="00FD7075" w:rsidRPr="001753D8">
        <w:rPr>
          <w:rFonts w:cs="Arial"/>
          <w:szCs w:val="24"/>
        </w:rPr>
        <w:t>This</w:t>
      </w:r>
      <w:r w:rsidRPr="001753D8">
        <w:rPr>
          <w:rFonts w:cs="Arial"/>
          <w:szCs w:val="24"/>
        </w:rPr>
        <w:t xml:space="preserve"> gives Directorates the opportunity to re-align the Capital Programme agreed in the previous February with their latest estimates of the spending profile of the projects.  </w:t>
      </w:r>
    </w:p>
    <w:p w:rsidR="001753D8" w:rsidRPr="00684A84" w:rsidRDefault="001753D8" w:rsidP="00253BB4">
      <w:pPr>
        <w:tabs>
          <w:tab w:val="num" w:pos="1560"/>
        </w:tabs>
        <w:ind w:left="567"/>
        <w:jc w:val="both"/>
      </w:pPr>
    </w:p>
    <w:p w:rsidR="009151D2" w:rsidRPr="00F84AA2" w:rsidRDefault="009151D2" w:rsidP="00253BB4">
      <w:pPr>
        <w:numPr>
          <w:ilvl w:val="0"/>
          <w:numId w:val="27"/>
        </w:numPr>
        <w:tabs>
          <w:tab w:val="clear" w:pos="360"/>
          <w:tab w:val="num" w:pos="993"/>
          <w:tab w:val="num" w:pos="1560"/>
        </w:tabs>
        <w:ind w:left="567" w:hanging="567"/>
        <w:jc w:val="both"/>
      </w:pPr>
      <w:r w:rsidRPr="001753D8">
        <w:rPr>
          <w:rFonts w:cs="Arial"/>
          <w:szCs w:val="24"/>
        </w:rPr>
        <w:t xml:space="preserve">The impact </w:t>
      </w:r>
      <w:r w:rsidR="001753D8">
        <w:rPr>
          <w:rFonts w:cs="Arial"/>
          <w:szCs w:val="24"/>
        </w:rPr>
        <w:t xml:space="preserve">of re-profiling of spending between years </w:t>
      </w:r>
      <w:r w:rsidRPr="001753D8">
        <w:rPr>
          <w:rFonts w:cs="Arial"/>
          <w:szCs w:val="24"/>
        </w:rPr>
        <w:t xml:space="preserve">is </w:t>
      </w:r>
      <w:r w:rsidR="001753D8">
        <w:rPr>
          <w:rFonts w:cs="Arial"/>
          <w:szCs w:val="24"/>
        </w:rPr>
        <w:t xml:space="preserve">cost </w:t>
      </w:r>
      <w:r w:rsidRPr="001753D8">
        <w:rPr>
          <w:rFonts w:cs="Arial"/>
          <w:szCs w:val="24"/>
        </w:rPr>
        <w:t xml:space="preserve">neutral across the 4 years and all capital financing costs are already included in the </w:t>
      </w:r>
      <w:r w:rsidR="00D47AA9" w:rsidRPr="001753D8">
        <w:rPr>
          <w:rFonts w:cs="Arial"/>
          <w:szCs w:val="24"/>
        </w:rPr>
        <w:t>r</w:t>
      </w:r>
      <w:r w:rsidRPr="001753D8">
        <w:rPr>
          <w:rFonts w:cs="Arial"/>
          <w:szCs w:val="24"/>
        </w:rPr>
        <w:t xml:space="preserve">evenue budget. </w:t>
      </w:r>
      <w:r w:rsidR="00D47AA9" w:rsidRPr="003E097B">
        <w:rPr>
          <w:rFonts w:cs="Arial"/>
          <w:szCs w:val="24"/>
        </w:rPr>
        <w:t>T</w:t>
      </w:r>
      <w:r w:rsidRPr="003E097B">
        <w:rPr>
          <w:rFonts w:cs="Arial"/>
          <w:szCs w:val="24"/>
        </w:rPr>
        <w:t xml:space="preserve">able </w:t>
      </w:r>
      <w:r w:rsidR="00D47AA9" w:rsidRPr="003E097B">
        <w:rPr>
          <w:rFonts w:cs="Arial"/>
          <w:szCs w:val="24"/>
        </w:rPr>
        <w:t xml:space="preserve">3 </w:t>
      </w:r>
      <w:r w:rsidRPr="003E097B">
        <w:rPr>
          <w:rFonts w:cs="Arial"/>
          <w:szCs w:val="24"/>
        </w:rPr>
        <w:t>sets out the movement between the financial years</w:t>
      </w:r>
      <w:r w:rsidR="007C49E5" w:rsidRPr="003E097B">
        <w:rPr>
          <w:rFonts w:cs="Arial"/>
          <w:szCs w:val="24"/>
        </w:rPr>
        <w:t xml:space="preserve"> with the detail</w:t>
      </w:r>
      <w:r w:rsidR="00684A84">
        <w:rPr>
          <w:rFonts w:cs="Arial"/>
          <w:szCs w:val="24"/>
        </w:rPr>
        <w:t xml:space="preserve">ed Capital Programme </w:t>
      </w:r>
      <w:r w:rsidR="003628D7">
        <w:rPr>
          <w:rFonts w:cs="Arial"/>
          <w:szCs w:val="24"/>
        </w:rPr>
        <w:t xml:space="preserve">provided </w:t>
      </w:r>
      <w:r w:rsidR="007C49E5" w:rsidRPr="003E097B">
        <w:rPr>
          <w:rFonts w:cs="Arial"/>
          <w:szCs w:val="24"/>
        </w:rPr>
        <w:t xml:space="preserve">in Appendix </w:t>
      </w:r>
      <w:r w:rsidR="003E097B">
        <w:rPr>
          <w:rFonts w:cs="Arial"/>
          <w:szCs w:val="24"/>
        </w:rPr>
        <w:t>1</w:t>
      </w:r>
      <w:r w:rsidR="003628D7">
        <w:rPr>
          <w:rFonts w:cs="Arial"/>
          <w:szCs w:val="24"/>
        </w:rPr>
        <w:t xml:space="preserve"> which also includes the additions set out separately in Appendix 2</w:t>
      </w:r>
      <w:r w:rsidRPr="003E097B">
        <w:rPr>
          <w:rFonts w:cs="Arial"/>
          <w:szCs w:val="24"/>
        </w:rPr>
        <w:t>:</w:t>
      </w:r>
    </w:p>
    <w:p w:rsidR="003628D7" w:rsidRDefault="003628D7" w:rsidP="00253BB4">
      <w:pPr>
        <w:pStyle w:val="ListParagraph"/>
      </w:pPr>
    </w:p>
    <w:p w:rsidR="003628D7" w:rsidRDefault="003628D7" w:rsidP="006D0A1B"/>
    <w:tbl>
      <w:tblPr>
        <w:tblW w:w="9654" w:type="dxa"/>
        <w:tblInd w:w="93" w:type="dxa"/>
        <w:tblLook w:val="04A0" w:firstRow="1" w:lastRow="0" w:firstColumn="1" w:lastColumn="0" w:noHBand="0" w:noVBand="1"/>
      </w:tblPr>
      <w:tblGrid>
        <w:gridCol w:w="5320"/>
        <w:gridCol w:w="1012"/>
        <w:gridCol w:w="1054"/>
        <w:gridCol w:w="1134"/>
        <w:gridCol w:w="1134"/>
      </w:tblGrid>
      <w:tr w:rsidR="00B74FD0" w:rsidRPr="00B74FD0" w:rsidTr="006D0A1B">
        <w:trPr>
          <w:trHeight w:val="300"/>
        </w:trPr>
        <w:tc>
          <w:tcPr>
            <w:tcW w:w="5320" w:type="dxa"/>
            <w:tcBorders>
              <w:top w:val="nil"/>
              <w:left w:val="nil"/>
              <w:bottom w:val="nil"/>
              <w:right w:val="nil"/>
            </w:tcBorders>
            <w:shd w:val="clear" w:color="auto" w:fill="auto"/>
            <w:noWrap/>
            <w:vAlign w:val="bottom"/>
            <w:hideMark/>
          </w:tcPr>
          <w:p w:rsidR="00B74FD0" w:rsidRPr="00B74FD0" w:rsidRDefault="00B74FD0">
            <w:pPr>
              <w:rPr>
                <w:rFonts w:cs="Arial"/>
                <w:b/>
                <w:bCs/>
                <w:sz w:val="22"/>
                <w:szCs w:val="22"/>
                <w:lang w:eastAsia="en-GB"/>
              </w:rPr>
            </w:pPr>
            <w:r>
              <w:rPr>
                <w:rFonts w:cs="Arial"/>
                <w:b/>
                <w:bCs/>
                <w:sz w:val="22"/>
                <w:szCs w:val="22"/>
                <w:lang w:eastAsia="en-GB"/>
              </w:rPr>
              <w:t>Table 3:</w:t>
            </w:r>
            <w:r w:rsidRPr="00B74FD0">
              <w:rPr>
                <w:rFonts w:cs="Arial"/>
                <w:b/>
                <w:bCs/>
                <w:sz w:val="22"/>
                <w:szCs w:val="22"/>
                <w:lang w:eastAsia="en-GB"/>
              </w:rPr>
              <w:t xml:space="preserve"> Capital Programme 2017/18 to 2019/20</w:t>
            </w:r>
          </w:p>
        </w:tc>
        <w:tc>
          <w:tcPr>
            <w:tcW w:w="1012" w:type="dxa"/>
            <w:tcBorders>
              <w:top w:val="nil"/>
              <w:left w:val="nil"/>
              <w:bottom w:val="nil"/>
              <w:right w:val="nil"/>
            </w:tcBorders>
            <w:shd w:val="clear" w:color="auto" w:fill="auto"/>
            <w:noWrap/>
            <w:vAlign w:val="bottom"/>
            <w:hideMark/>
          </w:tcPr>
          <w:p w:rsidR="00B74FD0" w:rsidRPr="00B74FD0" w:rsidRDefault="00B74FD0" w:rsidP="00B74FD0">
            <w:pPr>
              <w:rPr>
                <w:rFonts w:cs="Arial"/>
                <w:sz w:val="22"/>
                <w:szCs w:val="22"/>
                <w:lang w:eastAsia="en-GB"/>
              </w:rPr>
            </w:pPr>
          </w:p>
        </w:tc>
        <w:tc>
          <w:tcPr>
            <w:tcW w:w="1054" w:type="dxa"/>
            <w:tcBorders>
              <w:top w:val="nil"/>
              <w:left w:val="nil"/>
              <w:bottom w:val="nil"/>
              <w:right w:val="nil"/>
            </w:tcBorders>
            <w:shd w:val="clear" w:color="auto" w:fill="auto"/>
            <w:noWrap/>
            <w:vAlign w:val="bottom"/>
            <w:hideMark/>
          </w:tcPr>
          <w:p w:rsidR="00B74FD0" w:rsidRPr="00B74FD0" w:rsidRDefault="00B74FD0" w:rsidP="00B74FD0">
            <w:pPr>
              <w:rPr>
                <w:rFonts w:cs="Arial"/>
                <w:sz w:val="22"/>
                <w:szCs w:val="22"/>
                <w:lang w:eastAsia="en-GB"/>
              </w:rPr>
            </w:pPr>
          </w:p>
        </w:tc>
        <w:tc>
          <w:tcPr>
            <w:tcW w:w="1134" w:type="dxa"/>
            <w:tcBorders>
              <w:top w:val="nil"/>
              <w:left w:val="nil"/>
              <w:bottom w:val="nil"/>
              <w:right w:val="nil"/>
            </w:tcBorders>
            <w:shd w:val="clear" w:color="auto" w:fill="auto"/>
            <w:noWrap/>
            <w:vAlign w:val="bottom"/>
            <w:hideMark/>
          </w:tcPr>
          <w:p w:rsidR="00B74FD0" w:rsidRPr="00B74FD0" w:rsidRDefault="00B74FD0" w:rsidP="00B74FD0">
            <w:pPr>
              <w:rPr>
                <w:rFonts w:cs="Arial"/>
                <w:sz w:val="22"/>
                <w:szCs w:val="22"/>
                <w:lang w:eastAsia="en-GB"/>
              </w:rPr>
            </w:pPr>
          </w:p>
        </w:tc>
        <w:tc>
          <w:tcPr>
            <w:tcW w:w="1134" w:type="dxa"/>
            <w:tcBorders>
              <w:top w:val="nil"/>
              <w:left w:val="nil"/>
              <w:bottom w:val="nil"/>
              <w:right w:val="nil"/>
            </w:tcBorders>
            <w:shd w:val="clear" w:color="auto" w:fill="auto"/>
            <w:noWrap/>
            <w:vAlign w:val="bottom"/>
            <w:hideMark/>
          </w:tcPr>
          <w:p w:rsidR="00B74FD0" w:rsidRPr="00B74FD0" w:rsidRDefault="00B74FD0" w:rsidP="00B74FD0">
            <w:pPr>
              <w:rPr>
                <w:rFonts w:cs="Arial"/>
                <w:sz w:val="22"/>
                <w:szCs w:val="22"/>
                <w:lang w:eastAsia="en-GB"/>
              </w:rPr>
            </w:pPr>
          </w:p>
        </w:tc>
      </w:tr>
      <w:tr w:rsidR="00B74FD0" w:rsidRPr="00B74FD0" w:rsidTr="006D0A1B">
        <w:trPr>
          <w:trHeight w:val="330"/>
        </w:trPr>
        <w:tc>
          <w:tcPr>
            <w:tcW w:w="5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74FD0" w:rsidRPr="00B74FD0" w:rsidRDefault="00B74FD0" w:rsidP="00B74FD0">
            <w:pPr>
              <w:rPr>
                <w:rFonts w:cs="Arial"/>
                <w:sz w:val="22"/>
                <w:szCs w:val="22"/>
                <w:lang w:eastAsia="en-GB"/>
              </w:rPr>
            </w:pPr>
            <w:r w:rsidRPr="00B74FD0">
              <w:rPr>
                <w:rFonts w:cs="Arial"/>
                <w:sz w:val="22"/>
                <w:szCs w:val="22"/>
                <w:lang w:eastAsia="en-GB"/>
              </w:rPr>
              <w:t> </w:t>
            </w:r>
          </w:p>
        </w:tc>
        <w:tc>
          <w:tcPr>
            <w:tcW w:w="1012" w:type="dxa"/>
            <w:tcBorders>
              <w:top w:val="single" w:sz="4" w:space="0" w:color="auto"/>
              <w:left w:val="nil"/>
              <w:bottom w:val="single" w:sz="4" w:space="0" w:color="auto"/>
              <w:right w:val="single" w:sz="4" w:space="0" w:color="auto"/>
            </w:tcBorders>
            <w:shd w:val="clear" w:color="000000" w:fill="D9D9D9"/>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2017/18</w:t>
            </w:r>
          </w:p>
        </w:tc>
        <w:tc>
          <w:tcPr>
            <w:tcW w:w="1054" w:type="dxa"/>
            <w:tcBorders>
              <w:top w:val="single" w:sz="4" w:space="0" w:color="auto"/>
              <w:left w:val="nil"/>
              <w:bottom w:val="single" w:sz="4" w:space="0" w:color="auto"/>
              <w:right w:val="single" w:sz="4" w:space="0" w:color="auto"/>
            </w:tcBorders>
            <w:shd w:val="clear" w:color="000000" w:fill="D9D9D9"/>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2018/19</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2019/20</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Total</w:t>
            </w:r>
          </w:p>
        </w:tc>
      </w:tr>
      <w:tr w:rsidR="00B74FD0" w:rsidRPr="00B74FD0" w:rsidTr="006D0A1B">
        <w:trPr>
          <w:trHeight w:val="285"/>
        </w:trPr>
        <w:tc>
          <w:tcPr>
            <w:tcW w:w="5320" w:type="dxa"/>
            <w:tcBorders>
              <w:top w:val="nil"/>
              <w:left w:val="single" w:sz="4" w:space="0" w:color="auto"/>
              <w:bottom w:val="single" w:sz="4" w:space="0" w:color="auto"/>
              <w:right w:val="single" w:sz="4" w:space="0" w:color="auto"/>
            </w:tcBorders>
            <w:shd w:val="clear" w:color="000000" w:fill="D9D9D9"/>
            <w:noWrap/>
            <w:vAlign w:val="bottom"/>
            <w:hideMark/>
          </w:tcPr>
          <w:p w:rsidR="00B74FD0" w:rsidRPr="00B74FD0" w:rsidRDefault="00B74FD0" w:rsidP="00B74FD0">
            <w:pPr>
              <w:rPr>
                <w:rFonts w:cs="Arial"/>
                <w:sz w:val="22"/>
                <w:szCs w:val="22"/>
                <w:lang w:eastAsia="en-GB"/>
              </w:rPr>
            </w:pPr>
            <w:r w:rsidRPr="00B74FD0">
              <w:rPr>
                <w:rFonts w:cs="Arial"/>
                <w:sz w:val="22"/>
                <w:szCs w:val="22"/>
                <w:lang w:eastAsia="en-GB"/>
              </w:rPr>
              <w:t> </w:t>
            </w:r>
          </w:p>
        </w:tc>
        <w:tc>
          <w:tcPr>
            <w:tcW w:w="1012" w:type="dxa"/>
            <w:tcBorders>
              <w:top w:val="nil"/>
              <w:left w:val="nil"/>
              <w:bottom w:val="single" w:sz="4" w:space="0" w:color="auto"/>
              <w:right w:val="single" w:sz="4" w:space="0" w:color="auto"/>
            </w:tcBorders>
            <w:shd w:val="clear" w:color="000000" w:fill="D9D9D9"/>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£'000</w:t>
            </w:r>
          </w:p>
        </w:tc>
        <w:tc>
          <w:tcPr>
            <w:tcW w:w="1054" w:type="dxa"/>
            <w:tcBorders>
              <w:top w:val="nil"/>
              <w:left w:val="nil"/>
              <w:bottom w:val="single" w:sz="4" w:space="0" w:color="auto"/>
              <w:right w:val="single" w:sz="4" w:space="0" w:color="auto"/>
            </w:tcBorders>
            <w:shd w:val="clear" w:color="000000" w:fill="D9D9D9"/>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£'000</w:t>
            </w:r>
          </w:p>
        </w:tc>
        <w:tc>
          <w:tcPr>
            <w:tcW w:w="1134" w:type="dxa"/>
            <w:tcBorders>
              <w:top w:val="nil"/>
              <w:left w:val="nil"/>
              <w:bottom w:val="single" w:sz="4" w:space="0" w:color="auto"/>
              <w:right w:val="single" w:sz="4" w:space="0" w:color="auto"/>
            </w:tcBorders>
            <w:shd w:val="clear" w:color="000000" w:fill="D9D9D9"/>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£'000</w:t>
            </w:r>
          </w:p>
        </w:tc>
        <w:tc>
          <w:tcPr>
            <w:tcW w:w="1134" w:type="dxa"/>
            <w:tcBorders>
              <w:top w:val="nil"/>
              <w:left w:val="nil"/>
              <w:bottom w:val="single" w:sz="4" w:space="0" w:color="auto"/>
              <w:right w:val="single" w:sz="4" w:space="0" w:color="auto"/>
            </w:tcBorders>
            <w:shd w:val="clear" w:color="000000" w:fill="D9D9D9"/>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£'000</w:t>
            </w:r>
          </w:p>
        </w:tc>
      </w:tr>
      <w:tr w:rsidR="00B74FD0" w:rsidRPr="00B74FD0" w:rsidTr="006D0A1B">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74FD0" w:rsidRPr="00B74FD0" w:rsidRDefault="00B74FD0" w:rsidP="00B74FD0">
            <w:pPr>
              <w:rPr>
                <w:rFonts w:cs="Arial"/>
                <w:b/>
                <w:bCs/>
                <w:sz w:val="22"/>
                <w:szCs w:val="22"/>
                <w:lang w:eastAsia="en-GB"/>
              </w:rPr>
            </w:pPr>
            <w:r w:rsidRPr="00B74FD0">
              <w:rPr>
                <w:rFonts w:cs="Arial"/>
                <w:b/>
                <w:bCs/>
                <w:sz w:val="22"/>
                <w:szCs w:val="22"/>
                <w:lang w:eastAsia="en-GB"/>
              </w:rPr>
              <w:t>Total Capital Programme approved in Feb 2016.</w:t>
            </w:r>
          </w:p>
        </w:tc>
        <w:tc>
          <w:tcPr>
            <w:tcW w:w="1012"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81,212</w:t>
            </w:r>
          </w:p>
        </w:tc>
        <w:tc>
          <w:tcPr>
            <w:tcW w:w="105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29,517</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29,564</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140,293</w:t>
            </w:r>
          </w:p>
        </w:tc>
      </w:tr>
      <w:tr w:rsidR="00B74FD0" w:rsidRPr="00B74FD0" w:rsidTr="006D0A1B">
        <w:trPr>
          <w:trHeight w:val="495"/>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B74FD0" w:rsidRPr="00B74FD0" w:rsidRDefault="00B74FD0" w:rsidP="00B74FD0">
            <w:pPr>
              <w:rPr>
                <w:rFonts w:cs="Arial"/>
                <w:sz w:val="22"/>
                <w:szCs w:val="22"/>
                <w:lang w:eastAsia="en-GB"/>
              </w:rPr>
            </w:pPr>
            <w:r w:rsidRPr="00B74FD0">
              <w:rPr>
                <w:rFonts w:cs="Arial"/>
                <w:sz w:val="22"/>
                <w:szCs w:val="22"/>
                <w:lang w:eastAsia="en-GB"/>
              </w:rPr>
              <w:t>Amendments made during 2016/17</w:t>
            </w:r>
          </w:p>
        </w:tc>
        <w:tc>
          <w:tcPr>
            <w:tcW w:w="1012"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-722</w:t>
            </w:r>
          </w:p>
        </w:tc>
        <w:tc>
          <w:tcPr>
            <w:tcW w:w="105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1,110</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-2,030</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-1,642</w:t>
            </w:r>
          </w:p>
        </w:tc>
      </w:tr>
      <w:tr w:rsidR="00B74FD0" w:rsidRPr="00B74FD0" w:rsidTr="006D0A1B">
        <w:trPr>
          <w:trHeight w:val="6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74FD0" w:rsidRPr="00B74FD0" w:rsidRDefault="00B74FD0" w:rsidP="00B74FD0">
            <w:pPr>
              <w:rPr>
                <w:rFonts w:cs="Arial"/>
                <w:b/>
                <w:bCs/>
                <w:sz w:val="22"/>
                <w:szCs w:val="22"/>
                <w:lang w:eastAsia="en-GB"/>
              </w:rPr>
            </w:pPr>
            <w:r w:rsidRPr="00B74FD0">
              <w:rPr>
                <w:rFonts w:cs="Arial"/>
                <w:b/>
                <w:bCs/>
                <w:sz w:val="22"/>
                <w:szCs w:val="22"/>
                <w:lang w:eastAsia="en-GB"/>
              </w:rPr>
              <w:t>Revised 2016 Capital Programme excluding Regeneration amendments</w:t>
            </w:r>
          </w:p>
        </w:tc>
        <w:tc>
          <w:tcPr>
            <w:tcW w:w="1012"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80,490</w:t>
            </w:r>
          </w:p>
        </w:tc>
        <w:tc>
          <w:tcPr>
            <w:tcW w:w="105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30,627</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27,534</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138,651</w:t>
            </w:r>
          </w:p>
        </w:tc>
      </w:tr>
      <w:tr w:rsidR="00B74FD0" w:rsidRPr="00B74FD0" w:rsidTr="006D0A1B">
        <w:trPr>
          <w:trHeight w:val="285"/>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B74FD0" w:rsidRPr="00B74FD0" w:rsidRDefault="00B74FD0" w:rsidP="00B74FD0">
            <w:pPr>
              <w:rPr>
                <w:rFonts w:cs="Arial"/>
                <w:sz w:val="22"/>
                <w:szCs w:val="22"/>
                <w:lang w:eastAsia="en-GB"/>
              </w:rPr>
            </w:pPr>
            <w:r w:rsidRPr="00B74FD0">
              <w:rPr>
                <w:rFonts w:cs="Arial"/>
                <w:sz w:val="22"/>
                <w:szCs w:val="22"/>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 </w:t>
            </w:r>
          </w:p>
        </w:tc>
        <w:tc>
          <w:tcPr>
            <w:tcW w:w="105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 </w:t>
            </w:r>
          </w:p>
        </w:tc>
      </w:tr>
      <w:tr w:rsidR="00B74FD0" w:rsidRPr="00B74FD0" w:rsidTr="006D0A1B">
        <w:trPr>
          <w:trHeight w:val="57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74FD0" w:rsidRPr="00B74FD0" w:rsidRDefault="00B74FD0" w:rsidP="00B74FD0">
            <w:pPr>
              <w:rPr>
                <w:rFonts w:cs="Arial"/>
                <w:sz w:val="22"/>
                <w:szCs w:val="22"/>
                <w:lang w:eastAsia="en-GB"/>
              </w:rPr>
            </w:pPr>
            <w:r w:rsidRPr="00B74FD0">
              <w:rPr>
                <w:rFonts w:cs="Arial"/>
                <w:sz w:val="22"/>
                <w:szCs w:val="22"/>
                <w:lang w:eastAsia="en-GB"/>
              </w:rPr>
              <w:t xml:space="preserve">Amendment to Regeneration Capital Programme on 24th May 2016 Cabinet </w:t>
            </w:r>
          </w:p>
        </w:tc>
        <w:tc>
          <w:tcPr>
            <w:tcW w:w="1012"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59,445</w:t>
            </w:r>
          </w:p>
        </w:tc>
        <w:tc>
          <w:tcPr>
            <w:tcW w:w="105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114,200</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110,220</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283,865</w:t>
            </w:r>
          </w:p>
        </w:tc>
      </w:tr>
      <w:tr w:rsidR="00B74FD0" w:rsidRPr="00B74FD0" w:rsidTr="006D0A1B">
        <w:trPr>
          <w:trHeight w:val="69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74FD0" w:rsidRPr="00B74FD0" w:rsidRDefault="00B74FD0" w:rsidP="009620E2">
            <w:pPr>
              <w:rPr>
                <w:rFonts w:cs="Arial"/>
                <w:sz w:val="22"/>
                <w:szCs w:val="22"/>
                <w:lang w:eastAsia="en-GB"/>
              </w:rPr>
            </w:pPr>
            <w:r w:rsidRPr="00B74FD0">
              <w:rPr>
                <w:rFonts w:cs="Arial"/>
                <w:sz w:val="22"/>
                <w:szCs w:val="22"/>
                <w:lang w:eastAsia="en-GB"/>
              </w:rPr>
              <w:t>Amendment to Regeneration Capital Programme</w:t>
            </w:r>
            <w:r w:rsidR="009620E2">
              <w:rPr>
                <w:rFonts w:cs="Arial"/>
                <w:sz w:val="22"/>
                <w:szCs w:val="22"/>
                <w:lang w:eastAsia="en-GB"/>
              </w:rPr>
              <w:t xml:space="preserve"> -</w:t>
            </w:r>
            <w:r w:rsidRPr="00B74FD0">
              <w:rPr>
                <w:rFonts w:cs="Arial"/>
                <w:sz w:val="22"/>
                <w:szCs w:val="22"/>
                <w:lang w:eastAsia="en-GB"/>
              </w:rPr>
              <w:t xml:space="preserve">  19th January 2017  Cabinet </w:t>
            </w:r>
          </w:p>
        </w:tc>
        <w:tc>
          <w:tcPr>
            <w:tcW w:w="1012"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-37,640</w:t>
            </w:r>
          </w:p>
        </w:tc>
        <w:tc>
          <w:tcPr>
            <w:tcW w:w="105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83,420</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-28,582</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sz w:val="22"/>
                <w:szCs w:val="22"/>
                <w:lang w:eastAsia="en-GB"/>
              </w:rPr>
            </w:pPr>
            <w:r w:rsidRPr="00B74FD0">
              <w:rPr>
                <w:rFonts w:cs="Arial"/>
                <w:sz w:val="22"/>
                <w:szCs w:val="22"/>
                <w:lang w:eastAsia="en-GB"/>
              </w:rPr>
              <w:t>17,198</w:t>
            </w:r>
          </w:p>
        </w:tc>
      </w:tr>
      <w:tr w:rsidR="00B74FD0" w:rsidRPr="00B74FD0" w:rsidTr="006D0A1B">
        <w:trPr>
          <w:trHeight w:val="75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74FD0" w:rsidRPr="00B74FD0" w:rsidRDefault="00B74FD0" w:rsidP="00B74FD0">
            <w:pPr>
              <w:rPr>
                <w:rFonts w:cs="Arial"/>
                <w:b/>
                <w:bCs/>
                <w:sz w:val="22"/>
                <w:szCs w:val="22"/>
                <w:lang w:eastAsia="en-GB"/>
              </w:rPr>
            </w:pPr>
            <w:r w:rsidRPr="00B74FD0">
              <w:rPr>
                <w:rFonts w:cs="Arial"/>
                <w:b/>
                <w:bCs/>
                <w:sz w:val="22"/>
                <w:szCs w:val="22"/>
                <w:lang w:eastAsia="en-GB"/>
              </w:rPr>
              <w:t xml:space="preserve">Total Regeneration Capital Programme amendment </w:t>
            </w:r>
          </w:p>
        </w:tc>
        <w:tc>
          <w:tcPr>
            <w:tcW w:w="1012"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21,805</w:t>
            </w:r>
          </w:p>
        </w:tc>
        <w:tc>
          <w:tcPr>
            <w:tcW w:w="105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197,620</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81,638</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301,063</w:t>
            </w:r>
          </w:p>
        </w:tc>
      </w:tr>
      <w:tr w:rsidR="00B74FD0" w:rsidRPr="00B74FD0" w:rsidTr="006D0A1B">
        <w:trPr>
          <w:trHeight w:val="28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B74FD0" w:rsidRPr="00B74FD0" w:rsidRDefault="00B74FD0" w:rsidP="00B74FD0">
            <w:pPr>
              <w:rPr>
                <w:rFonts w:cs="Arial"/>
                <w:b/>
                <w:bCs/>
                <w:sz w:val="22"/>
                <w:szCs w:val="22"/>
                <w:lang w:eastAsia="en-GB"/>
              </w:rPr>
            </w:pPr>
            <w:r w:rsidRPr="00B74FD0">
              <w:rPr>
                <w:rFonts w:cs="Arial"/>
                <w:b/>
                <w:bCs/>
                <w:sz w:val="22"/>
                <w:szCs w:val="22"/>
                <w:lang w:eastAsia="en-GB"/>
              </w:rPr>
              <w:t> </w:t>
            </w:r>
          </w:p>
        </w:tc>
        <w:tc>
          <w:tcPr>
            <w:tcW w:w="1012"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 </w:t>
            </w:r>
          </w:p>
        </w:tc>
        <w:tc>
          <w:tcPr>
            <w:tcW w:w="105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 </w:t>
            </w:r>
          </w:p>
        </w:tc>
      </w:tr>
      <w:tr w:rsidR="00B74FD0" w:rsidRPr="00B74FD0" w:rsidTr="006D0A1B">
        <w:trPr>
          <w:trHeight w:val="300"/>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B74FD0" w:rsidRPr="00B74FD0" w:rsidRDefault="00B74FD0" w:rsidP="00B74FD0">
            <w:pPr>
              <w:rPr>
                <w:rFonts w:cs="Arial"/>
                <w:b/>
                <w:bCs/>
                <w:sz w:val="22"/>
                <w:szCs w:val="22"/>
                <w:lang w:eastAsia="en-GB"/>
              </w:rPr>
            </w:pPr>
            <w:r w:rsidRPr="00B74FD0">
              <w:rPr>
                <w:rFonts w:cs="Arial"/>
                <w:b/>
                <w:bCs/>
                <w:sz w:val="22"/>
                <w:szCs w:val="22"/>
                <w:lang w:eastAsia="en-GB"/>
              </w:rPr>
              <w:t>New Capital Additions 2017/18 to 2019/20</w:t>
            </w:r>
          </w:p>
        </w:tc>
        <w:tc>
          <w:tcPr>
            <w:tcW w:w="1012"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24,060</w:t>
            </w:r>
          </w:p>
        </w:tc>
        <w:tc>
          <w:tcPr>
            <w:tcW w:w="105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22,233</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8,883</w:t>
            </w:r>
          </w:p>
        </w:tc>
        <w:tc>
          <w:tcPr>
            <w:tcW w:w="1134" w:type="dxa"/>
            <w:tcBorders>
              <w:top w:val="nil"/>
              <w:left w:val="nil"/>
              <w:bottom w:val="single" w:sz="4" w:space="0" w:color="auto"/>
              <w:right w:val="single" w:sz="4" w:space="0" w:color="auto"/>
            </w:tcBorders>
            <w:shd w:val="clear" w:color="auto" w:fill="auto"/>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55,176</w:t>
            </w:r>
          </w:p>
        </w:tc>
      </w:tr>
      <w:tr w:rsidR="00B74FD0" w:rsidRPr="00B74FD0" w:rsidTr="006D0A1B">
        <w:trPr>
          <w:trHeight w:val="465"/>
        </w:trPr>
        <w:tc>
          <w:tcPr>
            <w:tcW w:w="5320" w:type="dxa"/>
            <w:tcBorders>
              <w:top w:val="nil"/>
              <w:left w:val="single" w:sz="4" w:space="0" w:color="auto"/>
              <w:bottom w:val="single" w:sz="4" w:space="0" w:color="auto"/>
              <w:right w:val="single" w:sz="4" w:space="0" w:color="auto"/>
            </w:tcBorders>
            <w:shd w:val="clear" w:color="000000" w:fill="D9D9D9"/>
            <w:noWrap/>
            <w:vAlign w:val="bottom"/>
            <w:hideMark/>
          </w:tcPr>
          <w:p w:rsidR="00B74FD0" w:rsidRPr="00B74FD0" w:rsidRDefault="00B74FD0" w:rsidP="00B74FD0">
            <w:pPr>
              <w:rPr>
                <w:rFonts w:cs="Arial"/>
                <w:b/>
                <w:bCs/>
                <w:sz w:val="22"/>
                <w:szCs w:val="22"/>
                <w:lang w:eastAsia="en-GB"/>
              </w:rPr>
            </w:pPr>
            <w:r w:rsidRPr="00B74FD0">
              <w:rPr>
                <w:rFonts w:cs="Arial"/>
                <w:b/>
                <w:bCs/>
                <w:sz w:val="22"/>
                <w:szCs w:val="22"/>
                <w:lang w:eastAsia="en-GB"/>
              </w:rPr>
              <w:t>Total Capital Programme 2017/18 to 2019/20</w:t>
            </w:r>
          </w:p>
        </w:tc>
        <w:tc>
          <w:tcPr>
            <w:tcW w:w="1012" w:type="dxa"/>
            <w:tcBorders>
              <w:top w:val="nil"/>
              <w:left w:val="nil"/>
              <w:bottom w:val="single" w:sz="4" w:space="0" w:color="auto"/>
              <w:right w:val="single" w:sz="4" w:space="0" w:color="auto"/>
            </w:tcBorders>
            <w:shd w:val="clear" w:color="000000" w:fill="D9D9D9"/>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126,355</w:t>
            </w:r>
          </w:p>
        </w:tc>
        <w:tc>
          <w:tcPr>
            <w:tcW w:w="1054" w:type="dxa"/>
            <w:tcBorders>
              <w:top w:val="nil"/>
              <w:left w:val="nil"/>
              <w:bottom w:val="single" w:sz="4" w:space="0" w:color="auto"/>
              <w:right w:val="single" w:sz="4" w:space="0" w:color="auto"/>
            </w:tcBorders>
            <w:shd w:val="clear" w:color="000000" w:fill="D9D9D9"/>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250,480</w:t>
            </w:r>
          </w:p>
        </w:tc>
        <w:tc>
          <w:tcPr>
            <w:tcW w:w="1134" w:type="dxa"/>
            <w:tcBorders>
              <w:top w:val="nil"/>
              <w:left w:val="nil"/>
              <w:bottom w:val="single" w:sz="4" w:space="0" w:color="auto"/>
              <w:right w:val="single" w:sz="4" w:space="0" w:color="auto"/>
            </w:tcBorders>
            <w:shd w:val="clear" w:color="000000" w:fill="D9D9D9"/>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118,055</w:t>
            </w:r>
          </w:p>
        </w:tc>
        <w:tc>
          <w:tcPr>
            <w:tcW w:w="1134" w:type="dxa"/>
            <w:tcBorders>
              <w:top w:val="nil"/>
              <w:left w:val="nil"/>
              <w:bottom w:val="single" w:sz="4" w:space="0" w:color="auto"/>
              <w:right w:val="single" w:sz="4" w:space="0" w:color="auto"/>
            </w:tcBorders>
            <w:shd w:val="clear" w:color="000000" w:fill="D9D9D9"/>
            <w:noWrap/>
            <w:vAlign w:val="bottom"/>
            <w:hideMark/>
          </w:tcPr>
          <w:p w:rsidR="00B74FD0" w:rsidRPr="00B74FD0" w:rsidRDefault="00B74FD0" w:rsidP="00B74FD0">
            <w:pPr>
              <w:jc w:val="right"/>
              <w:rPr>
                <w:rFonts w:cs="Arial"/>
                <w:b/>
                <w:bCs/>
                <w:sz w:val="22"/>
                <w:szCs w:val="22"/>
                <w:lang w:eastAsia="en-GB"/>
              </w:rPr>
            </w:pPr>
            <w:r w:rsidRPr="00B74FD0">
              <w:rPr>
                <w:rFonts w:cs="Arial"/>
                <w:b/>
                <w:bCs/>
                <w:sz w:val="22"/>
                <w:szCs w:val="22"/>
                <w:lang w:eastAsia="en-GB"/>
              </w:rPr>
              <w:t>494,890</w:t>
            </w:r>
          </w:p>
        </w:tc>
      </w:tr>
    </w:tbl>
    <w:p w:rsidR="003628D7" w:rsidRDefault="003628D7" w:rsidP="00253BB4">
      <w:pPr>
        <w:pStyle w:val="ListParagraph"/>
      </w:pPr>
    </w:p>
    <w:p w:rsidR="003628D7" w:rsidRDefault="003628D7" w:rsidP="00253BB4">
      <w:pPr>
        <w:pStyle w:val="ListParagraph"/>
      </w:pPr>
    </w:p>
    <w:p w:rsidR="003628D7" w:rsidRPr="00F84AA2" w:rsidRDefault="003628D7" w:rsidP="00253BB4">
      <w:pPr>
        <w:numPr>
          <w:ilvl w:val="0"/>
          <w:numId w:val="27"/>
        </w:numPr>
        <w:tabs>
          <w:tab w:val="clear" w:pos="360"/>
          <w:tab w:val="num" w:pos="993"/>
          <w:tab w:val="num" w:pos="1560"/>
        </w:tabs>
        <w:ind w:left="567" w:hanging="567"/>
        <w:jc w:val="both"/>
      </w:pPr>
      <w:r>
        <w:t xml:space="preserve">The total Capital Programme set out in Appendix 1, incorporates the Regeneration Programme </w:t>
      </w:r>
      <w:r w:rsidR="00F84AA2">
        <w:t>(see paragraphs 2</w:t>
      </w:r>
      <w:r w:rsidR="00B74FD0">
        <w:t>9</w:t>
      </w:r>
      <w:r w:rsidR="00F84AA2">
        <w:t xml:space="preserve"> to 3</w:t>
      </w:r>
      <w:r w:rsidR="00B74FD0">
        <w:t>3</w:t>
      </w:r>
      <w:r w:rsidR="00F84AA2">
        <w:t xml:space="preserve">) and the new capital additions (see paragraphs </w:t>
      </w:r>
      <w:r w:rsidR="00B74FD0">
        <w:t>7</w:t>
      </w:r>
      <w:r w:rsidR="00F84AA2">
        <w:t xml:space="preserve"> to </w:t>
      </w:r>
      <w:r w:rsidR="00B74FD0">
        <w:t>21</w:t>
      </w:r>
      <w:r w:rsidR="00F84AA2">
        <w:t xml:space="preserve">).  There were also some </w:t>
      </w:r>
      <w:r w:rsidR="00B74FD0">
        <w:t>reductions</w:t>
      </w:r>
      <w:r w:rsidR="00F84AA2">
        <w:t xml:space="preserve"> made in 2016/17 which are a total net reduction of £</w:t>
      </w:r>
      <w:r w:rsidR="001F14F9">
        <w:t>1</w:t>
      </w:r>
      <w:r w:rsidR="00F84AA2">
        <w:t xml:space="preserve">.642m across </w:t>
      </w:r>
      <w:r w:rsidR="009B03F9">
        <w:t>the period 2017/18 to 2019/20.</w:t>
      </w:r>
      <w:r w:rsidR="00595267">
        <w:t xml:space="preserve">  </w:t>
      </w:r>
      <w:r w:rsidR="001F14F9">
        <w:t xml:space="preserve">The £1.642m relates to a reduction in the HRA Capital Programme which has no impact on the General Fund Budget.  In addition, there has been a </w:t>
      </w:r>
      <w:r w:rsidR="00595267">
        <w:t xml:space="preserve">£6m </w:t>
      </w:r>
      <w:r w:rsidR="001F14F9">
        <w:t xml:space="preserve">reduction in 2018/19, </w:t>
      </w:r>
      <w:proofErr w:type="gramStart"/>
      <w:r w:rsidR="001F14F9">
        <w:t xml:space="preserve">which </w:t>
      </w:r>
      <w:r w:rsidR="00595267">
        <w:t xml:space="preserve"> relates</w:t>
      </w:r>
      <w:proofErr w:type="gramEnd"/>
      <w:r w:rsidR="00595267">
        <w:t xml:space="preserve"> to Schools where the Basic Needs Funding allocation originally assumed in 2018/19 will now not be received and therefore the programme has been reduced accordingly.  </w:t>
      </w:r>
      <w:r w:rsidR="001F14F9">
        <w:t>This is cost neutral to the budget as both the grant and expenditure have been reduced.</w:t>
      </w:r>
      <w:r w:rsidR="00595267">
        <w:t xml:space="preserve"> </w:t>
      </w:r>
    </w:p>
    <w:p w:rsidR="00B96C5E" w:rsidRDefault="00B96C5E" w:rsidP="00253BB4">
      <w:pPr>
        <w:spacing w:after="120"/>
        <w:ind w:left="567"/>
        <w:jc w:val="both"/>
        <w:rPr>
          <w:rFonts w:cs="Arial"/>
          <w:szCs w:val="24"/>
          <w:highlight w:val="yellow"/>
        </w:rPr>
      </w:pPr>
    </w:p>
    <w:p w:rsidR="00B96C5E" w:rsidRPr="00253BB4" w:rsidRDefault="00B96C5E" w:rsidP="00253BB4">
      <w:pPr>
        <w:spacing w:after="120"/>
        <w:ind w:left="567"/>
        <w:jc w:val="both"/>
        <w:rPr>
          <w:rFonts w:cs="Arial"/>
          <w:b/>
          <w:szCs w:val="24"/>
        </w:rPr>
      </w:pPr>
      <w:r w:rsidRPr="00253BB4">
        <w:rPr>
          <w:rFonts w:cs="Arial"/>
          <w:b/>
          <w:szCs w:val="24"/>
        </w:rPr>
        <w:t>Regeneration</w:t>
      </w:r>
      <w:r w:rsidR="003E097B">
        <w:rPr>
          <w:rFonts w:cs="Arial"/>
          <w:b/>
          <w:szCs w:val="24"/>
        </w:rPr>
        <w:t xml:space="preserve"> Capital Programme</w:t>
      </w:r>
    </w:p>
    <w:p w:rsidR="00B96C5E" w:rsidRDefault="00B96C5E" w:rsidP="00D47AA9">
      <w:pPr>
        <w:numPr>
          <w:ilvl w:val="0"/>
          <w:numId w:val="27"/>
        </w:numPr>
        <w:tabs>
          <w:tab w:val="clear" w:pos="360"/>
        </w:tabs>
        <w:spacing w:after="120"/>
        <w:ind w:left="567" w:hanging="567"/>
        <w:jc w:val="both"/>
        <w:rPr>
          <w:rFonts w:cs="Arial"/>
          <w:szCs w:val="24"/>
        </w:rPr>
      </w:pPr>
      <w:r>
        <w:rPr>
          <w:rFonts w:cs="Arial"/>
          <w:szCs w:val="24"/>
        </w:rPr>
        <w:t xml:space="preserve">The Capital Programme for 2016/17 to 2019/20 agreed by Cabinet and Council in February </w:t>
      </w:r>
      <w:r w:rsidR="005D7F38">
        <w:rPr>
          <w:rFonts w:cs="Arial"/>
          <w:szCs w:val="24"/>
        </w:rPr>
        <w:t>2016</w:t>
      </w:r>
      <w:r>
        <w:rPr>
          <w:rFonts w:cs="Arial"/>
          <w:szCs w:val="24"/>
        </w:rPr>
        <w:t xml:space="preserve"> included </w:t>
      </w:r>
      <w:r w:rsidR="003E29AC">
        <w:rPr>
          <w:rFonts w:cs="Arial"/>
          <w:szCs w:val="24"/>
        </w:rPr>
        <w:t>initial Capital Budgets for the Regeneration programme covering 2016/17 to 2017/18</w:t>
      </w:r>
      <w:r w:rsidR="00F75BA1">
        <w:rPr>
          <w:rFonts w:cs="Arial"/>
          <w:szCs w:val="24"/>
        </w:rPr>
        <w:t xml:space="preserve"> of £43.6m</w:t>
      </w:r>
      <w:r w:rsidR="003E29AC">
        <w:rPr>
          <w:rFonts w:cs="Arial"/>
          <w:szCs w:val="24"/>
        </w:rPr>
        <w:t xml:space="preserve">.  </w:t>
      </w:r>
      <w:r w:rsidR="00F75BA1">
        <w:rPr>
          <w:rFonts w:cs="Arial"/>
          <w:szCs w:val="24"/>
        </w:rPr>
        <w:t xml:space="preserve">There was a subsequent report to Cabinet in May 2016, which increased the </w:t>
      </w:r>
      <w:r>
        <w:rPr>
          <w:rFonts w:cs="Arial"/>
          <w:szCs w:val="24"/>
        </w:rPr>
        <w:t xml:space="preserve">budget </w:t>
      </w:r>
      <w:r w:rsidR="005D7F38">
        <w:rPr>
          <w:rFonts w:cs="Arial"/>
          <w:szCs w:val="24"/>
        </w:rPr>
        <w:t>as set out below:</w:t>
      </w:r>
      <w:r>
        <w:rPr>
          <w:rFonts w:cs="Arial"/>
          <w:szCs w:val="24"/>
        </w:rP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560"/>
        <w:gridCol w:w="1559"/>
        <w:gridCol w:w="1440"/>
      </w:tblGrid>
      <w:tr w:rsidR="005D7F38" w:rsidRPr="00E62935" w:rsidTr="00253BB4">
        <w:trPr>
          <w:trHeight w:val="400"/>
        </w:trPr>
        <w:tc>
          <w:tcPr>
            <w:tcW w:w="2268" w:type="dxa"/>
            <w:shd w:val="clear" w:color="000000" w:fill="BFBFBF"/>
            <w:noWrap/>
            <w:vAlign w:val="center"/>
            <w:hideMark/>
          </w:tcPr>
          <w:p w:rsidR="005D7F38" w:rsidRPr="00E62935" w:rsidRDefault="005D7F38" w:rsidP="006F6337">
            <w:pPr>
              <w:jc w:val="center"/>
              <w:rPr>
                <w:rFonts w:cs="Arial"/>
                <w:color w:val="000000"/>
                <w:sz w:val="22"/>
                <w:szCs w:val="22"/>
              </w:rPr>
            </w:pPr>
          </w:p>
        </w:tc>
        <w:tc>
          <w:tcPr>
            <w:tcW w:w="1701" w:type="dxa"/>
            <w:shd w:val="clear" w:color="000000" w:fill="BFBFBF"/>
            <w:noWrap/>
            <w:vAlign w:val="center"/>
            <w:hideMark/>
          </w:tcPr>
          <w:p w:rsidR="005D7F38" w:rsidRPr="00E62935" w:rsidRDefault="005D7F38" w:rsidP="006F6337">
            <w:pPr>
              <w:jc w:val="center"/>
              <w:rPr>
                <w:rFonts w:cs="Arial"/>
                <w:color w:val="000000"/>
                <w:sz w:val="22"/>
                <w:szCs w:val="22"/>
              </w:rPr>
            </w:pPr>
            <w:r w:rsidRPr="00E62935">
              <w:rPr>
                <w:rFonts w:cs="Arial"/>
                <w:color w:val="000000"/>
                <w:sz w:val="22"/>
                <w:szCs w:val="22"/>
              </w:rPr>
              <w:t>2016/17</w:t>
            </w:r>
          </w:p>
        </w:tc>
        <w:tc>
          <w:tcPr>
            <w:tcW w:w="1560" w:type="dxa"/>
            <w:shd w:val="clear" w:color="000000" w:fill="BFBFBF"/>
            <w:noWrap/>
            <w:vAlign w:val="center"/>
            <w:hideMark/>
          </w:tcPr>
          <w:p w:rsidR="005D7F38" w:rsidRPr="00E62935" w:rsidRDefault="005D7F38" w:rsidP="006F6337">
            <w:pPr>
              <w:jc w:val="center"/>
              <w:rPr>
                <w:rFonts w:cs="Arial"/>
                <w:color w:val="000000"/>
                <w:sz w:val="22"/>
                <w:szCs w:val="22"/>
              </w:rPr>
            </w:pPr>
            <w:r w:rsidRPr="00E62935">
              <w:rPr>
                <w:rFonts w:cs="Arial"/>
                <w:color w:val="000000"/>
                <w:sz w:val="22"/>
                <w:szCs w:val="22"/>
              </w:rPr>
              <w:t>2017/18</w:t>
            </w:r>
          </w:p>
        </w:tc>
        <w:tc>
          <w:tcPr>
            <w:tcW w:w="1559" w:type="dxa"/>
            <w:shd w:val="clear" w:color="000000" w:fill="BFBFBF"/>
            <w:noWrap/>
            <w:vAlign w:val="center"/>
            <w:hideMark/>
          </w:tcPr>
          <w:p w:rsidR="005D7F38" w:rsidRPr="00E62935" w:rsidRDefault="005D7F38" w:rsidP="006F6337">
            <w:pPr>
              <w:jc w:val="center"/>
              <w:rPr>
                <w:rFonts w:cs="Arial"/>
                <w:color w:val="000000"/>
                <w:sz w:val="22"/>
                <w:szCs w:val="22"/>
              </w:rPr>
            </w:pPr>
            <w:r w:rsidRPr="00E62935">
              <w:rPr>
                <w:rFonts w:cs="Arial"/>
                <w:color w:val="000000"/>
                <w:sz w:val="22"/>
                <w:szCs w:val="22"/>
              </w:rPr>
              <w:t>2018/19</w:t>
            </w:r>
          </w:p>
        </w:tc>
        <w:tc>
          <w:tcPr>
            <w:tcW w:w="1276" w:type="dxa"/>
            <w:shd w:val="clear" w:color="000000" w:fill="BFBFBF"/>
            <w:noWrap/>
            <w:vAlign w:val="center"/>
            <w:hideMark/>
          </w:tcPr>
          <w:p w:rsidR="005D7F38" w:rsidRPr="00E62935" w:rsidRDefault="005D7F38" w:rsidP="006F6337">
            <w:pPr>
              <w:jc w:val="center"/>
              <w:rPr>
                <w:rFonts w:cs="Arial"/>
                <w:color w:val="000000"/>
                <w:sz w:val="22"/>
                <w:szCs w:val="22"/>
              </w:rPr>
            </w:pPr>
            <w:r w:rsidRPr="00E62935">
              <w:rPr>
                <w:rFonts w:cs="Arial"/>
                <w:color w:val="000000"/>
                <w:sz w:val="22"/>
                <w:szCs w:val="22"/>
              </w:rPr>
              <w:t>2019/20</w:t>
            </w:r>
          </w:p>
        </w:tc>
      </w:tr>
      <w:tr w:rsidR="005D7F38" w:rsidRPr="00E62935" w:rsidTr="00253BB4">
        <w:trPr>
          <w:trHeight w:val="375"/>
        </w:trPr>
        <w:tc>
          <w:tcPr>
            <w:tcW w:w="2268" w:type="dxa"/>
            <w:shd w:val="clear" w:color="000000" w:fill="BFBFBF"/>
            <w:vAlign w:val="bottom"/>
            <w:hideMark/>
          </w:tcPr>
          <w:p w:rsidR="005D7F38" w:rsidRPr="00E62935" w:rsidRDefault="005D7F38" w:rsidP="006F6337">
            <w:pPr>
              <w:jc w:val="center"/>
              <w:rPr>
                <w:rFonts w:cs="Arial"/>
                <w:b/>
                <w:bCs/>
                <w:color w:val="000000"/>
                <w:sz w:val="22"/>
                <w:szCs w:val="22"/>
              </w:rPr>
            </w:pPr>
            <w:r>
              <w:rPr>
                <w:rFonts w:cs="Arial"/>
                <w:b/>
                <w:bCs/>
                <w:color w:val="000000"/>
                <w:sz w:val="22"/>
                <w:szCs w:val="22"/>
              </w:rPr>
              <w:t>Total expenditure</w:t>
            </w:r>
            <w:r w:rsidRPr="00E62935">
              <w:rPr>
                <w:rFonts w:cs="Arial"/>
                <w:b/>
                <w:bCs/>
                <w:color w:val="000000"/>
                <w:sz w:val="22"/>
                <w:szCs w:val="22"/>
              </w:rPr>
              <w:t> </w:t>
            </w:r>
          </w:p>
        </w:tc>
        <w:tc>
          <w:tcPr>
            <w:tcW w:w="1701" w:type="dxa"/>
            <w:shd w:val="clear" w:color="000000" w:fill="FFFFFF"/>
            <w:noWrap/>
            <w:vAlign w:val="bottom"/>
            <w:hideMark/>
          </w:tcPr>
          <w:p w:rsidR="005D7F38" w:rsidRPr="006F6337" w:rsidRDefault="005D7F38" w:rsidP="006F6337">
            <w:pPr>
              <w:jc w:val="right"/>
              <w:rPr>
                <w:rFonts w:cs="Arial"/>
                <w:b/>
                <w:bCs/>
                <w:sz w:val="20"/>
              </w:rPr>
            </w:pPr>
            <w:r w:rsidRPr="006F6337">
              <w:rPr>
                <w:rFonts w:cs="Arial"/>
                <w:b/>
                <w:bCs/>
                <w:sz w:val="20"/>
              </w:rPr>
              <w:t>£16,655,000</w:t>
            </w:r>
          </w:p>
        </w:tc>
        <w:tc>
          <w:tcPr>
            <w:tcW w:w="1560" w:type="dxa"/>
            <w:shd w:val="clear" w:color="000000" w:fill="FFFFFF"/>
            <w:noWrap/>
            <w:vAlign w:val="bottom"/>
            <w:hideMark/>
          </w:tcPr>
          <w:p w:rsidR="005D7F38" w:rsidRPr="006F6337" w:rsidRDefault="005D7F38" w:rsidP="006F6337">
            <w:pPr>
              <w:jc w:val="right"/>
              <w:rPr>
                <w:rFonts w:cs="Arial"/>
                <w:b/>
                <w:bCs/>
                <w:sz w:val="20"/>
              </w:rPr>
            </w:pPr>
            <w:r w:rsidRPr="006F6337">
              <w:rPr>
                <w:rFonts w:cs="Arial"/>
                <w:b/>
                <w:bCs/>
                <w:sz w:val="20"/>
              </w:rPr>
              <w:t>£83,770,000</w:t>
            </w:r>
          </w:p>
        </w:tc>
        <w:tc>
          <w:tcPr>
            <w:tcW w:w="1559" w:type="dxa"/>
            <w:shd w:val="clear" w:color="000000" w:fill="FFFFFF"/>
            <w:noWrap/>
            <w:vAlign w:val="bottom"/>
            <w:hideMark/>
          </w:tcPr>
          <w:p w:rsidR="005D7F38" w:rsidRPr="006F6337" w:rsidRDefault="005D7F38" w:rsidP="006F6337">
            <w:pPr>
              <w:jc w:val="right"/>
              <w:rPr>
                <w:rFonts w:cs="Arial"/>
                <w:b/>
                <w:bCs/>
                <w:sz w:val="20"/>
              </w:rPr>
            </w:pPr>
            <w:r w:rsidRPr="006F6337">
              <w:rPr>
                <w:rFonts w:cs="Arial"/>
                <w:b/>
                <w:bCs/>
                <w:sz w:val="20"/>
              </w:rPr>
              <w:t>£114,450,000</w:t>
            </w:r>
          </w:p>
        </w:tc>
        <w:tc>
          <w:tcPr>
            <w:tcW w:w="1276" w:type="dxa"/>
            <w:shd w:val="clear" w:color="000000" w:fill="FFFFFF"/>
            <w:noWrap/>
            <w:vAlign w:val="bottom"/>
            <w:hideMark/>
          </w:tcPr>
          <w:p w:rsidR="005D7F38" w:rsidRPr="006F6337" w:rsidRDefault="005D7F38" w:rsidP="006F6337">
            <w:pPr>
              <w:jc w:val="right"/>
              <w:rPr>
                <w:rFonts w:cs="Arial"/>
                <w:b/>
                <w:bCs/>
                <w:sz w:val="20"/>
              </w:rPr>
            </w:pPr>
            <w:r w:rsidRPr="006F6337">
              <w:rPr>
                <w:rFonts w:cs="Arial"/>
                <w:b/>
                <w:bCs/>
                <w:sz w:val="20"/>
              </w:rPr>
              <w:t>£110,220,000</w:t>
            </w:r>
          </w:p>
        </w:tc>
      </w:tr>
    </w:tbl>
    <w:p w:rsidR="005D7F38" w:rsidRDefault="005D7F38" w:rsidP="00253BB4">
      <w:pPr>
        <w:spacing w:after="120"/>
        <w:ind w:left="567"/>
        <w:jc w:val="both"/>
        <w:rPr>
          <w:rFonts w:cs="Arial"/>
          <w:szCs w:val="24"/>
        </w:rPr>
      </w:pPr>
    </w:p>
    <w:p w:rsidR="005B2217" w:rsidRPr="001F14F9" w:rsidRDefault="005D7F38" w:rsidP="006D0A1B">
      <w:pPr>
        <w:numPr>
          <w:ilvl w:val="0"/>
          <w:numId w:val="27"/>
        </w:numPr>
        <w:tabs>
          <w:tab w:val="clear" w:pos="360"/>
        </w:tabs>
        <w:spacing w:after="120"/>
        <w:ind w:left="567" w:hanging="567"/>
        <w:jc w:val="both"/>
        <w:rPr>
          <w:rFonts w:cs="Arial"/>
          <w:szCs w:val="24"/>
        </w:rPr>
      </w:pPr>
      <w:r w:rsidRPr="001F14F9">
        <w:rPr>
          <w:rFonts w:cs="Arial"/>
          <w:szCs w:val="24"/>
        </w:rPr>
        <w:t>A further report was submitted to Cabinet in January 2017 setting out the revised Capital Programme required for the Regeneration programme and this will be the budget included within the Capital Programme for approva</w:t>
      </w:r>
      <w:r w:rsidR="005B2217" w:rsidRPr="001F14F9">
        <w:rPr>
          <w:rFonts w:cs="Arial"/>
          <w:szCs w:val="24"/>
        </w:rPr>
        <w:t xml:space="preserve">l at this Cabinet meeting.  The </w:t>
      </w:r>
      <w:r w:rsidRPr="001F14F9">
        <w:rPr>
          <w:rFonts w:cs="Arial"/>
          <w:szCs w:val="24"/>
        </w:rPr>
        <w:t>revised Expenditure profile is as follows:</w:t>
      </w:r>
    </w:p>
    <w:tbl>
      <w:tblPr>
        <w:tblStyle w:val="TableGrid"/>
        <w:tblW w:w="7938" w:type="dxa"/>
        <w:tblInd w:w="675" w:type="dxa"/>
        <w:tblLook w:val="04A0" w:firstRow="1" w:lastRow="0" w:firstColumn="1" w:lastColumn="0" w:noHBand="0" w:noVBand="1"/>
      </w:tblPr>
      <w:tblGrid>
        <w:gridCol w:w="2410"/>
        <w:gridCol w:w="1843"/>
        <w:gridCol w:w="1984"/>
        <w:gridCol w:w="1701"/>
      </w:tblGrid>
      <w:tr w:rsidR="005B2217" w:rsidRPr="00095E4E" w:rsidTr="00253BB4">
        <w:tc>
          <w:tcPr>
            <w:tcW w:w="2410" w:type="dxa"/>
          </w:tcPr>
          <w:p w:rsidR="005B2217" w:rsidRPr="00095E4E" w:rsidRDefault="005B2217" w:rsidP="006F6337"/>
        </w:tc>
        <w:tc>
          <w:tcPr>
            <w:tcW w:w="1843" w:type="dxa"/>
          </w:tcPr>
          <w:p w:rsidR="005B2217" w:rsidRPr="005B2217" w:rsidRDefault="005B2217" w:rsidP="006F6337">
            <w:r w:rsidRPr="005B2217">
              <w:t>2017/18</w:t>
            </w:r>
          </w:p>
        </w:tc>
        <w:tc>
          <w:tcPr>
            <w:tcW w:w="1984" w:type="dxa"/>
          </w:tcPr>
          <w:p w:rsidR="005B2217" w:rsidRPr="005B2217" w:rsidRDefault="005B2217" w:rsidP="006F6337">
            <w:r w:rsidRPr="005B2217">
              <w:t>2018/19</w:t>
            </w:r>
          </w:p>
        </w:tc>
        <w:tc>
          <w:tcPr>
            <w:tcW w:w="1701" w:type="dxa"/>
          </w:tcPr>
          <w:p w:rsidR="005B2217" w:rsidRPr="00095E4E" w:rsidRDefault="005B2217" w:rsidP="006F6337">
            <w:r w:rsidRPr="005B2217">
              <w:t>2019/20</w:t>
            </w:r>
          </w:p>
        </w:tc>
      </w:tr>
      <w:tr w:rsidR="005B2217" w:rsidRPr="00095E4E" w:rsidTr="00253BB4">
        <w:tc>
          <w:tcPr>
            <w:tcW w:w="2410" w:type="dxa"/>
          </w:tcPr>
          <w:p w:rsidR="005B2217" w:rsidRPr="00095E4E" w:rsidRDefault="005B2217" w:rsidP="006F6337">
            <w:r w:rsidRPr="00095E4E">
              <w:t>Total Expenditure</w:t>
            </w:r>
          </w:p>
        </w:tc>
        <w:tc>
          <w:tcPr>
            <w:tcW w:w="1843" w:type="dxa"/>
          </w:tcPr>
          <w:p w:rsidR="005B2217" w:rsidRPr="00095E4E" w:rsidRDefault="005B2217" w:rsidP="006F6337">
            <w:r w:rsidRPr="00095E4E">
              <w:t>£46,129,847</w:t>
            </w:r>
          </w:p>
        </w:tc>
        <w:tc>
          <w:tcPr>
            <w:tcW w:w="1984" w:type="dxa"/>
          </w:tcPr>
          <w:p w:rsidR="005B2217" w:rsidRPr="00095E4E" w:rsidRDefault="005B2217" w:rsidP="006F6337">
            <w:r w:rsidRPr="00095E4E">
              <w:t>£197,870,141</w:t>
            </w:r>
          </w:p>
        </w:tc>
        <w:tc>
          <w:tcPr>
            <w:tcW w:w="1701" w:type="dxa"/>
          </w:tcPr>
          <w:p w:rsidR="005B2217" w:rsidRPr="00095E4E" w:rsidRDefault="005B2217" w:rsidP="006F6337">
            <w:r w:rsidRPr="00095E4E">
              <w:t>£81,637,958</w:t>
            </w:r>
          </w:p>
        </w:tc>
      </w:tr>
      <w:tr w:rsidR="005B2217" w:rsidRPr="00095E4E" w:rsidTr="00253BB4">
        <w:tc>
          <w:tcPr>
            <w:tcW w:w="2410" w:type="dxa"/>
          </w:tcPr>
          <w:p w:rsidR="005B2217" w:rsidRPr="00095E4E" w:rsidRDefault="005B2217" w:rsidP="006F6337">
            <w:r w:rsidRPr="00095E4E">
              <w:t>Previous budget</w:t>
            </w:r>
          </w:p>
        </w:tc>
        <w:tc>
          <w:tcPr>
            <w:tcW w:w="1843" w:type="dxa"/>
          </w:tcPr>
          <w:p w:rsidR="005B2217" w:rsidRPr="00095E4E" w:rsidRDefault="005B2217" w:rsidP="006F6337">
            <w:r w:rsidRPr="00095E4E">
              <w:t>£83,770,000</w:t>
            </w:r>
          </w:p>
        </w:tc>
        <w:tc>
          <w:tcPr>
            <w:tcW w:w="1984" w:type="dxa"/>
          </w:tcPr>
          <w:p w:rsidR="005B2217" w:rsidRPr="00095E4E" w:rsidRDefault="005B2217" w:rsidP="006F6337">
            <w:r w:rsidRPr="00095E4E">
              <w:t>£114,450,000</w:t>
            </w:r>
          </w:p>
        </w:tc>
        <w:tc>
          <w:tcPr>
            <w:tcW w:w="1701" w:type="dxa"/>
          </w:tcPr>
          <w:p w:rsidR="005B2217" w:rsidRPr="00095E4E" w:rsidRDefault="005B2217" w:rsidP="006F6337">
            <w:r w:rsidRPr="00095E4E">
              <w:t>£110,220,000</w:t>
            </w:r>
          </w:p>
        </w:tc>
      </w:tr>
      <w:tr w:rsidR="005B2217" w:rsidRPr="00095E4E" w:rsidTr="00253BB4">
        <w:tc>
          <w:tcPr>
            <w:tcW w:w="2410" w:type="dxa"/>
          </w:tcPr>
          <w:p w:rsidR="005B2217" w:rsidRPr="00095E4E" w:rsidRDefault="005B2217" w:rsidP="006F6337">
            <w:r w:rsidRPr="00095E4E">
              <w:t>Variation</w:t>
            </w:r>
          </w:p>
        </w:tc>
        <w:tc>
          <w:tcPr>
            <w:tcW w:w="1843" w:type="dxa"/>
          </w:tcPr>
          <w:p w:rsidR="005B2217" w:rsidRPr="00095E4E" w:rsidRDefault="005B2217" w:rsidP="006F6337">
            <w:r w:rsidRPr="00095E4E">
              <w:t>-£37,640,153</w:t>
            </w:r>
          </w:p>
        </w:tc>
        <w:tc>
          <w:tcPr>
            <w:tcW w:w="1984" w:type="dxa"/>
          </w:tcPr>
          <w:p w:rsidR="005B2217" w:rsidRPr="00095E4E" w:rsidRDefault="005B2217" w:rsidP="006F6337">
            <w:r w:rsidRPr="00095E4E">
              <w:t>+£83,420,141</w:t>
            </w:r>
          </w:p>
        </w:tc>
        <w:tc>
          <w:tcPr>
            <w:tcW w:w="1701" w:type="dxa"/>
          </w:tcPr>
          <w:p w:rsidR="005B2217" w:rsidRPr="00095E4E" w:rsidRDefault="005B2217" w:rsidP="006F6337">
            <w:r w:rsidRPr="00095E4E">
              <w:t>-£28,582,042</w:t>
            </w:r>
          </w:p>
        </w:tc>
      </w:tr>
    </w:tbl>
    <w:p w:rsidR="005B2217" w:rsidRDefault="005B2217" w:rsidP="00253BB4">
      <w:pPr>
        <w:spacing w:after="120"/>
        <w:ind w:left="567"/>
        <w:jc w:val="both"/>
        <w:rPr>
          <w:rFonts w:cs="Arial"/>
          <w:szCs w:val="24"/>
        </w:rPr>
      </w:pPr>
    </w:p>
    <w:p w:rsidR="005D7F38" w:rsidRDefault="00014E24" w:rsidP="00D47AA9">
      <w:pPr>
        <w:numPr>
          <w:ilvl w:val="0"/>
          <w:numId w:val="27"/>
        </w:numPr>
        <w:tabs>
          <w:tab w:val="clear" w:pos="360"/>
        </w:tabs>
        <w:spacing w:after="120"/>
        <w:ind w:left="567" w:hanging="567"/>
        <w:jc w:val="both"/>
        <w:rPr>
          <w:rFonts w:cs="Arial"/>
          <w:szCs w:val="24"/>
        </w:rPr>
      </w:pPr>
      <w:r>
        <w:rPr>
          <w:rFonts w:cs="Arial"/>
          <w:szCs w:val="24"/>
        </w:rPr>
        <w:t xml:space="preserve">The </w:t>
      </w:r>
      <w:r w:rsidR="001F14F9">
        <w:rPr>
          <w:rFonts w:cs="Arial"/>
          <w:szCs w:val="24"/>
        </w:rPr>
        <w:t xml:space="preserve">following </w:t>
      </w:r>
      <w:r w:rsidR="005B2217">
        <w:rPr>
          <w:rFonts w:cs="Arial"/>
          <w:szCs w:val="24"/>
        </w:rPr>
        <w:t xml:space="preserve">Table below sets out the </w:t>
      </w:r>
      <w:r w:rsidR="001F14F9">
        <w:rPr>
          <w:rFonts w:cs="Arial"/>
          <w:szCs w:val="24"/>
        </w:rPr>
        <w:t>m</w:t>
      </w:r>
      <w:r w:rsidR="005B2217">
        <w:rPr>
          <w:rFonts w:cs="Arial"/>
          <w:szCs w:val="24"/>
        </w:rPr>
        <w:t xml:space="preserve">ovement and amendments to the Regeneration Capital Programme between February 2016 and February 2017: </w:t>
      </w:r>
    </w:p>
    <w:p w:rsidR="005B2217" w:rsidRDefault="00014E24" w:rsidP="006D0A1B">
      <w:pPr>
        <w:spacing w:after="120"/>
        <w:ind w:left="567"/>
        <w:rPr>
          <w:rFonts w:cs="Arial"/>
          <w:szCs w:val="24"/>
        </w:rPr>
      </w:pPr>
      <w:r>
        <w:rPr>
          <w:rFonts w:cs="Arial"/>
          <w:szCs w:val="24"/>
        </w:rPr>
        <w:t>Tabl</w:t>
      </w:r>
      <w:r w:rsidR="001F14F9">
        <w:rPr>
          <w:rFonts w:cs="Arial"/>
          <w:szCs w:val="24"/>
        </w:rPr>
        <w:t xml:space="preserve">e 4 </w:t>
      </w:r>
      <w:r>
        <w:rPr>
          <w:rFonts w:cs="Arial"/>
          <w:szCs w:val="24"/>
        </w:rPr>
        <w:t xml:space="preserve"> </w:t>
      </w:r>
      <w:r w:rsidR="005B2217" w:rsidRPr="00F75BA1">
        <w:rPr>
          <w:noProof/>
          <w:lang w:eastAsia="en-GB"/>
        </w:rPr>
        <w:drawing>
          <wp:inline distT="0" distB="0" distL="0" distR="0" wp14:anchorId="57D100A3" wp14:editId="081245B5">
            <wp:extent cx="5276215" cy="2221230"/>
            <wp:effectExtent l="0" t="0" r="63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215" cy="2221230"/>
                    </a:xfrm>
                    <a:prstGeom prst="rect">
                      <a:avLst/>
                    </a:prstGeom>
                    <a:noFill/>
                    <a:ln>
                      <a:noFill/>
                    </a:ln>
                  </pic:spPr>
                </pic:pic>
              </a:graphicData>
            </a:graphic>
          </wp:inline>
        </w:drawing>
      </w:r>
    </w:p>
    <w:p w:rsidR="00014E24" w:rsidRDefault="00014E24" w:rsidP="00253BB4">
      <w:pPr>
        <w:spacing w:after="120"/>
        <w:ind w:left="567"/>
        <w:jc w:val="both"/>
        <w:rPr>
          <w:rFonts w:cs="Arial"/>
          <w:szCs w:val="24"/>
        </w:rPr>
      </w:pPr>
    </w:p>
    <w:p w:rsidR="005B2217" w:rsidRDefault="00A01B0A" w:rsidP="00D47AA9">
      <w:pPr>
        <w:numPr>
          <w:ilvl w:val="0"/>
          <w:numId w:val="27"/>
        </w:numPr>
        <w:tabs>
          <w:tab w:val="clear" w:pos="360"/>
        </w:tabs>
        <w:spacing w:after="120"/>
        <w:ind w:left="567" w:hanging="567"/>
        <w:jc w:val="both"/>
        <w:rPr>
          <w:rFonts w:cs="Arial"/>
          <w:szCs w:val="24"/>
        </w:rPr>
      </w:pPr>
      <w:r>
        <w:rPr>
          <w:rFonts w:cs="Arial"/>
          <w:szCs w:val="24"/>
        </w:rPr>
        <w:t xml:space="preserve">Expenditure requirements over the </w:t>
      </w:r>
      <w:r w:rsidR="00A84ED1">
        <w:rPr>
          <w:rFonts w:cs="Arial"/>
          <w:szCs w:val="24"/>
        </w:rPr>
        <w:t xml:space="preserve">financial </w:t>
      </w:r>
      <w:proofErr w:type="gramStart"/>
      <w:r w:rsidR="00A84ED1">
        <w:rPr>
          <w:rFonts w:cs="Arial"/>
          <w:szCs w:val="24"/>
        </w:rPr>
        <w:t xml:space="preserve">years </w:t>
      </w:r>
      <w:r>
        <w:rPr>
          <w:rFonts w:cs="Arial"/>
          <w:szCs w:val="24"/>
        </w:rPr>
        <w:t xml:space="preserve"> 2017</w:t>
      </w:r>
      <w:proofErr w:type="gramEnd"/>
      <w:r>
        <w:rPr>
          <w:rFonts w:cs="Arial"/>
          <w:szCs w:val="24"/>
        </w:rPr>
        <w:t>/18 to 2019/20 are estimated at £</w:t>
      </w:r>
      <w:r w:rsidR="00A84ED1">
        <w:rPr>
          <w:rFonts w:cs="Arial"/>
          <w:szCs w:val="24"/>
        </w:rPr>
        <w:t>325</w:t>
      </w:r>
      <w:r>
        <w:rPr>
          <w:rFonts w:cs="Arial"/>
          <w:szCs w:val="24"/>
        </w:rPr>
        <w:t>m, to be funded through a combination of land receipts and new borrowing.  The total cost of the Regeneration programme is anticipated to be in the region of £349m over the period 2016/17 to 2021/22, with land receipts in the region of £108m being generated to help fund the cost of works.</w:t>
      </w:r>
    </w:p>
    <w:p w:rsidR="00014E24" w:rsidRDefault="008A0D1E" w:rsidP="00D47AA9">
      <w:pPr>
        <w:numPr>
          <w:ilvl w:val="0"/>
          <w:numId w:val="27"/>
        </w:numPr>
        <w:tabs>
          <w:tab w:val="clear" w:pos="360"/>
        </w:tabs>
        <w:spacing w:after="120"/>
        <w:ind w:left="567" w:hanging="567"/>
        <w:jc w:val="both"/>
        <w:rPr>
          <w:rFonts w:cs="Arial"/>
          <w:szCs w:val="24"/>
        </w:rPr>
      </w:pPr>
      <w:r>
        <w:rPr>
          <w:rFonts w:cs="Arial"/>
          <w:szCs w:val="24"/>
        </w:rPr>
        <w:t>The net retained debt at the end of the programme</w:t>
      </w:r>
      <w:r w:rsidR="00014E24">
        <w:rPr>
          <w:rFonts w:cs="Arial"/>
          <w:szCs w:val="24"/>
        </w:rPr>
        <w:t xml:space="preserve"> is estimated to be £241m.  Aside from years 3 and 4 of the programme, the </w:t>
      </w:r>
      <w:r>
        <w:rPr>
          <w:rFonts w:cs="Arial"/>
          <w:szCs w:val="24"/>
        </w:rPr>
        <w:t>cost of servicing the debt</w:t>
      </w:r>
      <w:r w:rsidR="003605E7">
        <w:rPr>
          <w:rFonts w:cs="Arial"/>
          <w:szCs w:val="24"/>
        </w:rPr>
        <w:t xml:space="preserve"> is covered by the rental income from the programme which also yields a new financial return for the Council.</w:t>
      </w:r>
      <w:r w:rsidR="00014E24">
        <w:rPr>
          <w:rFonts w:cs="Arial"/>
          <w:szCs w:val="24"/>
        </w:rPr>
        <w:t xml:space="preserve">  The costs in years 3 and 4 will be covered by the MRP provision set aside for this purpose.</w:t>
      </w:r>
    </w:p>
    <w:p w:rsidR="00231182" w:rsidRDefault="00231182" w:rsidP="006D0A1B">
      <w:pPr>
        <w:spacing w:after="120"/>
        <w:ind w:left="567"/>
        <w:jc w:val="both"/>
        <w:rPr>
          <w:rFonts w:cs="Arial"/>
          <w:szCs w:val="24"/>
        </w:rPr>
      </w:pPr>
    </w:p>
    <w:p w:rsidR="00F261E7" w:rsidRPr="00253BB4" w:rsidRDefault="00014E24" w:rsidP="00253BB4">
      <w:pPr>
        <w:spacing w:after="120"/>
        <w:ind w:left="567"/>
        <w:jc w:val="both"/>
        <w:rPr>
          <w:rFonts w:cs="Arial"/>
          <w:b/>
          <w:szCs w:val="24"/>
        </w:rPr>
      </w:pPr>
      <w:r>
        <w:rPr>
          <w:rFonts w:cs="Arial"/>
          <w:szCs w:val="24"/>
        </w:rPr>
        <w:t xml:space="preserve"> </w:t>
      </w:r>
      <w:r w:rsidR="00F261E7" w:rsidRPr="00253BB4">
        <w:rPr>
          <w:rFonts w:cs="Arial"/>
          <w:b/>
          <w:szCs w:val="24"/>
        </w:rPr>
        <w:t>Capital Receipts</w:t>
      </w:r>
    </w:p>
    <w:p w:rsidR="00F261E7" w:rsidRPr="00253BB4" w:rsidRDefault="00F261E7" w:rsidP="00253BB4">
      <w:pPr>
        <w:numPr>
          <w:ilvl w:val="0"/>
          <w:numId w:val="27"/>
        </w:numPr>
        <w:tabs>
          <w:tab w:val="clear" w:pos="360"/>
        </w:tabs>
        <w:autoSpaceDE w:val="0"/>
        <w:autoSpaceDN w:val="0"/>
        <w:adjustRightInd w:val="0"/>
        <w:spacing w:after="120"/>
        <w:ind w:left="567" w:hanging="567"/>
        <w:jc w:val="both"/>
        <w:rPr>
          <w:rFonts w:cs="Arial"/>
          <w:szCs w:val="24"/>
        </w:rPr>
      </w:pPr>
      <w:r w:rsidRPr="00253BB4">
        <w:rPr>
          <w:rFonts w:cs="Arial"/>
          <w:szCs w:val="24"/>
        </w:rPr>
        <w:t>The Property Disposal Programme was submitted to Cabinet on 17</w:t>
      </w:r>
      <w:r w:rsidRPr="00253BB4">
        <w:rPr>
          <w:rFonts w:cs="Arial"/>
          <w:szCs w:val="24"/>
          <w:vertAlign w:val="superscript"/>
        </w:rPr>
        <w:t>th</w:t>
      </w:r>
      <w:r w:rsidRPr="00253BB4">
        <w:rPr>
          <w:rFonts w:cs="Arial"/>
          <w:szCs w:val="24"/>
        </w:rPr>
        <w:t xml:space="preserve"> November 2016.  The asset </w:t>
      </w:r>
      <w:r w:rsidRPr="00253BB4">
        <w:rPr>
          <w:rFonts w:ascii="TT35ACo00" w:hAnsi="TT35ACo00" w:cs="TT35ACo00"/>
          <w:szCs w:val="24"/>
          <w:lang w:eastAsia="en-GB"/>
        </w:rPr>
        <w:t>management strategy adopted for the review requires that surplus properties and those not meeting the Investment Strategy criteria are to be proposed for disposal to maximise capital receipts which can be used to fund service improvements across the Council. For the financial years that begin on 1</w:t>
      </w:r>
      <w:r w:rsidRPr="00253BB4">
        <w:rPr>
          <w:rFonts w:ascii="TT35A9o00" w:hAnsi="TT35A9o00" w:cs="TT35A9o00"/>
          <w:sz w:val="16"/>
          <w:szCs w:val="16"/>
          <w:lang w:eastAsia="en-GB"/>
        </w:rPr>
        <w:t xml:space="preserve"> </w:t>
      </w:r>
      <w:r w:rsidRPr="00253BB4">
        <w:rPr>
          <w:rFonts w:ascii="TT35ACo00" w:hAnsi="TT35ACo00" w:cs="TT35ACo00"/>
          <w:szCs w:val="24"/>
          <w:lang w:eastAsia="en-GB"/>
        </w:rPr>
        <w:t>April 2016, 1</w:t>
      </w:r>
      <w:r w:rsidRPr="00253BB4">
        <w:rPr>
          <w:rFonts w:ascii="TT35A9o00" w:hAnsi="TT35A9o00" w:cs="TT35A9o00"/>
          <w:sz w:val="16"/>
          <w:szCs w:val="16"/>
          <w:lang w:eastAsia="en-GB"/>
        </w:rPr>
        <w:t xml:space="preserve"> </w:t>
      </w:r>
      <w:r w:rsidRPr="00253BB4">
        <w:rPr>
          <w:rFonts w:ascii="TT35ACo00" w:hAnsi="TT35ACo00" w:cs="TT35ACo00"/>
          <w:szCs w:val="24"/>
          <w:lang w:eastAsia="en-GB"/>
        </w:rPr>
        <w:t>April 2017 and 1</w:t>
      </w:r>
      <w:r w:rsidRPr="00253BB4">
        <w:rPr>
          <w:rFonts w:ascii="TT35A9o00" w:hAnsi="TT35A9o00" w:cs="TT35A9o00"/>
          <w:sz w:val="16"/>
          <w:szCs w:val="16"/>
          <w:lang w:eastAsia="en-GB"/>
        </w:rPr>
        <w:t xml:space="preserve"> </w:t>
      </w:r>
      <w:r w:rsidRPr="00253BB4">
        <w:rPr>
          <w:rFonts w:ascii="TT35ACo00" w:hAnsi="TT35ACo00" w:cs="TT35ACo00"/>
          <w:szCs w:val="24"/>
          <w:lang w:eastAsia="en-GB"/>
        </w:rPr>
        <w:t xml:space="preserve">April 2018, Local Authorities can use capital receipts to fund expenditure that is incurred to generate on going revenue savings in the delivery of public services and / or transform service delivery to reduce costs and / or transfer service delivery in a way that reduces costs or demand in future years.  It is estimated that £3m will be received in 2016/17 and this can then either be applied as part of the capital receipts flexibility that the Government has provided or else applied to fund mainstream capital expenditure </w:t>
      </w:r>
      <w:proofErr w:type="gramStart"/>
      <w:r w:rsidR="001548D5">
        <w:rPr>
          <w:rFonts w:ascii="TT35ACo00" w:hAnsi="TT35ACo00" w:cs="TT35ACo00"/>
          <w:szCs w:val="24"/>
          <w:lang w:eastAsia="en-GB"/>
        </w:rPr>
        <w:t xml:space="preserve">from </w:t>
      </w:r>
      <w:r w:rsidRPr="00253BB4">
        <w:rPr>
          <w:rFonts w:ascii="TT35ACo00" w:hAnsi="TT35ACo00" w:cs="TT35ACo00"/>
          <w:szCs w:val="24"/>
          <w:lang w:eastAsia="en-GB"/>
        </w:rPr>
        <w:t xml:space="preserve"> 2016</w:t>
      </w:r>
      <w:proofErr w:type="gramEnd"/>
      <w:r w:rsidRPr="00253BB4">
        <w:rPr>
          <w:rFonts w:ascii="TT35ACo00" w:hAnsi="TT35ACo00" w:cs="TT35ACo00"/>
          <w:szCs w:val="24"/>
          <w:lang w:eastAsia="en-GB"/>
        </w:rPr>
        <w:t>/17</w:t>
      </w:r>
      <w:r w:rsidR="001548D5">
        <w:rPr>
          <w:rFonts w:ascii="TT35ACo00" w:hAnsi="TT35ACo00" w:cs="TT35ACo00"/>
          <w:szCs w:val="24"/>
          <w:lang w:eastAsia="en-GB"/>
        </w:rPr>
        <w:t xml:space="preserve"> onwards</w:t>
      </w:r>
      <w:r w:rsidRPr="00253BB4">
        <w:rPr>
          <w:rFonts w:ascii="TT35ACo00" w:hAnsi="TT35ACo00" w:cs="TT35ACo00"/>
          <w:szCs w:val="24"/>
          <w:lang w:eastAsia="en-GB"/>
        </w:rPr>
        <w:t>.</w:t>
      </w:r>
    </w:p>
    <w:p w:rsidR="00014E24" w:rsidRPr="00F261E7" w:rsidRDefault="00014E24" w:rsidP="00253BB4">
      <w:pPr>
        <w:autoSpaceDE w:val="0"/>
        <w:autoSpaceDN w:val="0"/>
        <w:adjustRightInd w:val="0"/>
        <w:spacing w:after="120"/>
        <w:ind w:left="567"/>
        <w:jc w:val="both"/>
        <w:rPr>
          <w:rFonts w:cs="Arial"/>
          <w:szCs w:val="24"/>
        </w:rPr>
      </w:pPr>
    </w:p>
    <w:p w:rsidR="00105B2C" w:rsidRPr="00105B2C" w:rsidRDefault="006D68FB" w:rsidP="00105B2C">
      <w:pPr>
        <w:spacing w:after="240"/>
        <w:ind w:left="567" w:hanging="567"/>
        <w:jc w:val="both"/>
        <w:rPr>
          <w:rFonts w:cs="Arial"/>
          <w:b/>
          <w:szCs w:val="24"/>
        </w:rPr>
      </w:pPr>
      <w:r>
        <w:rPr>
          <w:rFonts w:cs="Arial"/>
          <w:b/>
          <w:szCs w:val="24"/>
        </w:rPr>
        <w:t>HOUSING REVENUE ACCOUNT</w:t>
      </w:r>
      <w:r w:rsidR="00105B2C" w:rsidRPr="00105B2C">
        <w:rPr>
          <w:rFonts w:cs="Arial"/>
          <w:b/>
          <w:szCs w:val="24"/>
        </w:rPr>
        <w:t xml:space="preserve"> (HRA)</w:t>
      </w:r>
    </w:p>
    <w:p w:rsidR="00480518" w:rsidRPr="00480518" w:rsidRDefault="00105B2C" w:rsidP="00480518">
      <w:pPr>
        <w:numPr>
          <w:ilvl w:val="0"/>
          <w:numId w:val="27"/>
        </w:numPr>
        <w:tabs>
          <w:tab w:val="clear" w:pos="360"/>
          <w:tab w:val="num" w:pos="1418"/>
          <w:tab w:val="num" w:pos="1843"/>
        </w:tabs>
        <w:spacing w:after="240"/>
        <w:ind w:left="567" w:hanging="567"/>
        <w:jc w:val="both"/>
      </w:pPr>
      <w:r w:rsidRPr="00E23647">
        <w:rPr>
          <w:rFonts w:cs="Arial"/>
          <w:szCs w:val="24"/>
        </w:rPr>
        <w:t xml:space="preserve">The </w:t>
      </w:r>
      <w:r w:rsidR="00BC19E9" w:rsidRPr="00E23647">
        <w:rPr>
          <w:rFonts w:cs="Arial"/>
          <w:szCs w:val="24"/>
        </w:rPr>
        <w:t xml:space="preserve">proposed </w:t>
      </w:r>
      <w:r w:rsidRPr="00E23647">
        <w:rPr>
          <w:rFonts w:cs="Arial"/>
          <w:szCs w:val="24"/>
        </w:rPr>
        <w:t>HRA Capital Programme is detailed in a separate report to Cabinet elsewhere on this agenda.</w:t>
      </w:r>
      <w:r w:rsidR="00E23647" w:rsidRPr="00E23647">
        <w:rPr>
          <w:rFonts w:cs="Arial"/>
          <w:szCs w:val="24"/>
        </w:rPr>
        <w:t xml:space="preserve">  Any implications from the HRA Capital Programme are funded from the Housing Revenue Account and do not impact upon the General Fund Budget.</w:t>
      </w:r>
    </w:p>
    <w:p w:rsidR="00480518" w:rsidRPr="00480518" w:rsidRDefault="00480518" w:rsidP="00FF590B">
      <w:pPr>
        <w:tabs>
          <w:tab w:val="num" w:pos="2127"/>
        </w:tabs>
        <w:spacing w:after="120"/>
        <w:outlineLvl w:val="1"/>
        <w:rPr>
          <w:rFonts w:cs="Arial"/>
          <w:b/>
          <w:bCs/>
          <w:sz w:val="28"/>
          <w:szCs w:val="32"/>
        </w:rPr>
      </w:pPr>
      <w:r w:rsidRPr="00480518">
        <w:rPr>
          <w:rFonts w:cs="Arial"/>
          <w:b/>
          <w:bCs/>
          <w:sz w:val="28"/>
          <w:szCs w:val="32"/>
        </w:rPr>
        <w:t xml:space="preserve">Options considered </w:t>
      </w:r>
    </w:p>
    <w:p w:rsidR="00480518" w:rsidRPr="00480518" w:rsidRDefault="001F44EC" w:rsidP="00FF590B">
      <w:pPr>
        <w:numPr>
          <w:ilvl w:val="0"/>
          <w:numId w:val="27"/>
        </w:numPr>
        <w:tabs>
          <w:tab w:val="clear" w:pos="360"/>
          <w:tab w:val="num" w:pos="2268"/>
        </w:tabs>
        <w:ind w:left="709" w:hanging="709"/>
        <w:jc w:val="both"/>
        <w:rPr>
          <w:rFonts w:cs="Arial"/>
          <w:szCs w:val="24"/>
        </w:rPr>
      </w:pPr>
      <w:r>
        <w:t>A number of capital proposals are considered during the budget setting process.</w:t>
      </w:r>
    </w:p>
    <w:p w:rsidR="00480518" w:rsidRPr="00480518" w:rsidRDefault="00480518" w:rsidP="00480518"/>
    <w:p w:rsidR="00480518" w:rsidRPr="00480518" w:rsidRDefault="00480518" w:rsidP="00480518">
      <w:pPr>
        <w:spacing w:after="120"/>
        <w:outlineLvl w:val="1"/>
        <w:rPr>
          <w:rFonts w:cs="Arial"/>
          <w:b/>
          <w:bCs/>
          <w:sz w:val="28"/>
          <w:szCs w:val="32"/>
        </w:rPr>
      </w:pPr>
      <w:r w:rsidRPr="00480518">
        <w:rPr>
          <w:rFonts w:cs="Arial"/>
          <w:b/>
          <w:bCs/>
          <w:sz w:val="28"/>
          <w:szCs w:val="32"/>
        </w:rPr>
        <w:t>Legal Implications</w:t>
      </w:r>
    </w:p>
    <w:p w:rsidR="00480518" w:rsidRDefault="00480518" w:rsidP="00FF590B">
      <w:pPr>
        <w:numPr>
          <w:ilvl w:val="0"/>
          <w:numId w:val="27"/>
        </w:numPr>
        <w:tabs>
          <w:tab w:val="clear" w:pos="360"/>
          <w:tab w:val="num" w:pos="2268"/>
        </w:tabs>
        <w:ind w:left="709" w:hanging="709"/>
        <w:jc w:val="both"/>
      </w:pPr>
      <w:r w:rsidRPr="00480518">
        <w:t xml:space="preserve">Under the Financial Regulations paragraph B2 full council is responsible for agreeing the </w:t>
      </w:r>
      <w:r w:rsidR="001753D8">
        <w:t>A</w:t>
      </w:r>
      <w:r w:rsidRPr="00480518">
        <w:t xml:space="preserve">uthorities policy framework which </w:t>
      </w:r>
      <w:proofErr w:type="gramStart"/>
      <w:r w:rsidRPr="00480518">
        <w:t>are</w:t>
      </w:r>
      <w:proofErr w:type="gramEnd"/>
      <w:r w:rsidRPr="00480518">
        <w:t xml:space="preserve"> proposed by the </w:t>
      </w:r>
      <w:r w:rsidR="00A84ED1">
        <w:t>C</w:t>
      </w:r>
      <w:r w:rsidRPr="00480518">
        <w:t xml:space="preserve">abinet </w:t>
      </w:r>
      <w:r w:rsidR="00D15CFA">
        <w:t xml:space="preserve">and </w:t>
      </w:r>
      <w:r w:rsidRPr="00480518">
        <w:t>this includes the capital programme.</w:t>
      </w:r>
      <w:r w:rsidR="00FA1D36">
        <w:t xml:space="preserve"> Under B41 the Director of Finance is responsible for producing an annual capital strategy for Cabinet to recommend to Council.</w:t>
      </w:r>
    </w:p>
    <w:p w:rsidR="000C14C9" w:rsidRDefault="000C14C9" w:rsidP="000C14C9">
      <w:pPr>
        <w:ind w:left="709"/>
        <w:jc w:val="both"/>
      </w:pPr>
    </w:p>
    <w:p w:rsidR="00231182" w:rsidRPr="00480518" w:rsidRDefault="00231182" w:rsidP="000C14C9">
      <w:pPr>
        <w:ind w:left="709"/>
        <w:jc w:val="both"/>
      </w:pPr>
    </w:p>
    <w:p w:rsidR="00480518" w:rsidRPr="00480518" w:rsidRDefault="00480518" w:rsidP="00480518">
      <w:pPr>
        <w:spacing w:after="120"/>
        <w:outlineLvl w:val="1"/>
        <w:rPr>
          <w:rFonts w:cs="Arial"/>
          <w:b/>
          <w:bCs/>
          <w:sz w:val="28"/>
          <w:szCs w:val="32"/>
        </w:rPr>
      </w:pPr>
      <w:r w:rsidRPr="00480518">
        <w:rPr>
          <w:rFonts w:cs="Arial"/>
          <w:b/>
          <w:bCs/>
          <w:sz w:val="28"/>
          <w:szCs w:val="32"/>
        </w:rPr>
        <w:t>Financial Implications</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proposals must be included in the revenue budget. </w:t>
      </w:r>
    </w:p>
    <w:p w:rsidR="00480518" w:rsidRPr="00480518" w:rsidRDefault="00480518" w:rsidP="00480518"/>
    <w:p w:rsidR="00480518" w:rsidRPr="00480518" w:rsidRDefault="00480518" w:rsidP="00480518">
      <w:pPr>
        <w:spacing w:after="120"/>
        <w:outlineLvl w:val="1"/>
        <w:rPr>
          <w:rFonts w:cs="Arial"/>
          <w:b/>
          <w:bCs/>
          <w:sz w:val="28"/>
          <w:szCs w:val="32"/>
        </w:rPr>
      </w:pPr>
      <w:r w:rsidRPr="00480518">
        <w:rPr>
          <w:rFonts w:cs="Arial"/>
          <w:b/>
          <w:bCs/>
          <w:sz w:val="28"/>
          <w:szCs w:val="32"/>
        </w:rPr>
        <w:t>Performance Issues</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rsidR="00480518" w:rsidRPr="00480518" w:rsidRDefault="00480518" w:rsidP="00480518">
      <w:pPr>
        <w:ind w:left="567" w:hanging="567"/>
        <w:jc w:val="both"/>
        <w:rPr>
          <w:rFonts w:cs="Arial"/>
          <w:szCs w:val="24"/>
          <w:highlight w:val="green"/>
        </w:rPr>
      </w:pPr>
    </w:p>
    <w:p w:rsidR="00480518" w:rsidRDefault="00480518" w:rsidP="006D0A1B">
      <w:pPr>
        <w:numPr>
          <w:ilvl w:val="0"/>
          <w:numId w:val="27"/>
        </w:numPr>
        <w:tabs>
          <w:tab w:val="clear" w:pos="360"/>
          <w:tab w:val="num" w:pos="2268"/>
        </w:tabs>
        <w:ind w:left="709" w:hanging="709"/>
        <w:jc w:val="both"/>
        <w:rPr>
          <w:rFonts w:cs="Arial"/>
          <w:szCs w:val="24"/>
        </w:rPr>
      </w:pPr>
      <w:r w:rsidRPr="007F4BDA">
        <w:rPr>
          <w:rFonts w:cs="Arial"/>
          <w:szCs w:val="24"/>
        </w:rPr>
        <w:t xml:space="preserve">Monitoring of the approved </w:t>
      </w:r>
      <w:proofErr w:type="gramStart"/>
      <w:r w:rsidRPr="007F4BDA">
        <w:rPr>
          <w:rFonts w:cs="Arial"/>
          <w:szCs w:val="24"/>
        </w:rPr>
        <w:t>programme,</w:t>
      </w:r>
      <w:proofErr w:type="gramEnd"/>
      <w:r w:rsidRPr="007F4BDA">
        <w:rPr>
          <w:rFonts w:cs="Arial"/>
          <w:szCs w:val="24"/>
        </w:rPr>
        <w:t xml:space="preserve"> is ongoing and is essential for </w:t>
      </w:r>
      <w:r w:rsidR="007F4BDA">
        <w:rPr>
          <w:rFonts w:cs="Arial"/>
          <w:szCs w:val="24"/>
        </w:rPr>
        <w:t xml:space="preserve">  </w:t>
      </w:r>
      <w:r w:rsidR="00A84ED1">
        <w:rPr>
          <w:rFonts w:cs="Arial"/>
          <w:szCs w:val="24"/>
        </w:rPr>
        <w:t xml:space="preserve"> </w:t>
      </w:r>
      <w:r w:rsidRPr="007F4BDA">
        <w:rPr>
          <w:rFonts w:cs="Arial"/>
          <w:szCs w:val="24"/>
        </w:rPr>
        <w:t xml:space="preserve">good financial management. </w:t>
      </w:r>
    </w:p>
    <w:p w:rsidR="007F4BDA" w:rsidRDefault="007F4BDA" w:rsidP="007F4BDA">
      <w:pPr>
        <w:pStyle w:val="ListParagraph"/>
        <w:rPr>
          <w:rFonts w:cs="Arial"/>
          <w:szCs w:val="24"/>
        </w:rPr>
      </w:pPr>
    </w:p>
    <w:p w:rsidR="00480518" w:rsidRPr="00480518" w:rsidRDefault="00480518" w:rsidP="00FF590B">
      <w:pPr>
        <w:numPr>
          <w:ilvl w:val="0"/>
          <w:numId w:val="27"/>
        </w:numPr>
        <w:tabs>
          <w:tab w:val="clear" w:pos="360"/>
          <w:tab w:val="num" w:pos="2268"/>
        </w:tabs>
        <w:ind w:left="709" w:hanging="709"/>
        <w:jc w:val="both"/>
        <w:rPr>
          <w:b/>
          <w:color w:val="0000FF"/>
          <w:sz w:val="28"/>
          <w:szCs w:val="28"/>
        </w:rPr>
      </w:pPr>
      <w:r w:rsidRPr="00480518">
        <w:t xml:space="preserve">It is proposed that a performance target is set </w:t>
      </w:r>
      <w:r w:rsidR="00A84ED1">
        <w:t>at</w:t>
      </w:r>
      <w:r w:rsidRPr="00480518">
        <w:t xml:space="preserve"> 90% of the approved budget </w:t>
      </w:r>
      <w:r w:rsidR="00D15CFA">
        <w:t>to be spent in year</w:t>
      </w:r>
      <w:r w:rsidRPr="00480518">
        <w:t xml:space="preserve">.  Having approved an investment programme it is important that the programme is then substantially delivered in the planned timeframe, in line with </w:t>
      </w:r>
      <w:r w:rsidR="00290B2A">
        <w:t>M</w:t>
      </w:r>
      <w:r w:rsidRPr="00480518">
        <w:t>ember priorities.</w:t>
      </w:r>
    </w:p>
    <w:p w:rsidR="00480518" w:rsidRPr="00480518" w:rsidRDefault="00480518" w:rsidP="00480518">
      <w:pPr>
        <w:ind w:left="567" w:hanging="567"/>
        <w:rPr>
          <w:color w:val="FF0000"/>
        </w:rPr>
      </w:pPr>
    </w:p>
    <w:p w:rsidR="00480518" w:rsidRPr="00480518" w:rsidRDefault="00480518" w:rsidP="00480518">
      <w:pPr>
        <w:spacing w:after="120"/>
        <w:ind w:left="567" w:hanging="567"/>
        <w:outlineLvl w:val="1"/>
        <w:rPr>
          <w:rFonts w:cs="Arial"/>
          <w:b/>
          <w:bCs/>
          <w:sz w:val="28"/>
          <w:szCs w:val="32"/>
        </w:rPr>
      </w:pPr>
      <w:r w:rsidRPr="00480518">
        <w:rPr>
          <w:rFonts w:cs="Arial"/>
          <w:b/>
          <w:bCs/>
          <w:sz w:val="28"/>
          <w:szCs w:val="32"/>
        </w:rPr>
        <w:t>Risk Management Implications</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The individual schemes within the programme will either be incorporated within departmental registers or have individual registers. A significant consideration in developing the programme has been the risks arising from not keeping our infrastructure in good order.  Not doing so would lead to an increase in health and safety risks and additional costs in replacing assets when they deteriorate too much to repair.</w:t>
      </w:r>
    </w:p>
    <w:p w:rsidR="00480518" w:rsidRDefault="00480518" w:rsidP="00480518">
      <w:pPr>
        <w:ind w:left="567" w:right="141" w:hanging="567"/>
        <w:rPr>
          <w:rFonts w:cs="Arial"/>
          <w:szCs w:val="24"/>
        </w:rPr>
      </w:pPr>
    </w:p>
    <w:p w:rsidR="00480518" w:rsidRPr="00480518" w:rsidRDefault="00480518" w:rsidP="00480518">
      <w:pPr>
        <w:keepNext/>
        <w:spacing w:after="120"/>
        <w:ind w:left="567" w:hanging="567"/>
        <w:outlineLvl w:val="1"/>
        <w:rPr>
          <w:rFonts w:cs="Arial"/>
          <w:b/>
          <w:bCs/>
          <w:color w:val="FF0000"/>
          <w:sz w:val="28"/>
          <w:szCs w:val="32"/>
        </w:rPr>
      </w:pPr>
      <w:r w:rsidRPr="00480518">
        <w:rPr>
          <w:rFonts w:cs="Arial"/>
          <w:b/>
          <w:bCs/>
          <w:sz w:val="28"/>
          <w:szCs w:val="32"/>
        </w:rPr>
        <w:t>Equalities implications / Public Sector Equality Duty</w:t>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 xml:space="preserve">One of the aims of the Capital Strategy is to ensure the responsible allocation of funding in line with the Council’s priorities and legislative requirements such as equalities legislation. Equalities implications form part of the way that the projects are prioritised.  The officer’s initial views are that no protected group is adversely affected by the proposals.  A number of the projects proposed in the programme will require </w:t>
      </w:r>
      <w:r w:rsidR="00290B2A">
        <w:rPr>
          <w:rFonts w:cs="Arial"/>
          <w:szCs w:val="24"/>
        </w:rPr>
        <w:t xml:space="preserve">separate Cabinet reports and </w:t>
      </w:r>
      <w:r w:rsidRPr="00480518">
        <w:rPr>
          <w:rFonts w:cs="Arial"/>
          <w:szCs w:val="24"/>
        </w:rPr>
        <w:t xml:space="preserve">full Equality Impact Assessments before they commence. </w:t>
      </w:r>
    </w:p>
    <w:p w:rsidR="00480518" w:rsidRPr="00480518" w:rsidRDefault="00480518" w:rsidP="00480518">
      <w:pPr>
        <w:tabs>
          <w:tab w:val="left" w:pos="6150"/>
        </w:tabs>
        <w:ind w:left="567" w:hanging="567"/>
        <w:jc w:val="both"/>
      </w:pPr>
      <w:r w:rsidRPr="00480518">
        <w:tab/>
      </w: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from residents. The statutory grounds of the public sector equality duty are found at section 149 of the Equality Act 2010 and are as follows:</w:t>
      </w:r>
    </w:p>
    <w:p w:rsidR="00480518" w:rsidRPr="00480518" w:rsidRDefault="00480518" w:rsidP="00480518">
      <w:pPr>
        <w:ind w:left="567"/>
        <w:jc w:val="both"/>
        <w:rPr>
          <w:rFonts w:cs="Arial"/>
          <w:i/>
          <w:iCs/>
          <w:szCs w:val="24"/>
        </w:rPr>
      </w:pPr>
      <w:r w:rsidRPr="00480518">
        <w:rPr>
          <w:rFonts w:cs="Arial"/>
          <w:i/>
          <w:iCs/>
          <w:szCs w:val="24"/>
        </w:rPr>
        <w:t>A public authority must, in the exercise of its functions, have due regard to the need to:</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eliminate discrimination, harassment, victimisation and any other conduct that is prohibited by or under this Act;</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advance equality of opportunity between persons who share a relevant protected characteristic and persons who do not share it;</w:t>
      </w:r>
    </w:p>
    <w:p w:rsidR="00480518" w:rsidRPr="00480518" w:rsidRDefault="00480518" w:rsidP="00480518">
      <w:pPr>
        <w:numPr>
          <w:ilvl w:val="1"/>
          <w:numId w:val="30"/>
        </w:numPr>
        <w:ind w:left="748" w:firstLine="0"/>
        <w:jc w:val="both"/>
        <w:rPr>
          <w:rFonts w:cs="Arial"/>
          <w:i/>
          <w:iCs/>
          <w:szCs w:val="24"/>
        </w:rPr>
      </w:pPr>
      <w:proofErr w:type="gramStart"/>
      <w:r w:rsidRPr="00480518">
        <w:rPr>
          <w:rFonts w:cs="Arial"/>
          <w:i/>
          <w:iCs/>
          <w:szCs w:val="24"/>
        </w:rPr>
        <w:t>foster</w:t>
      </w:r>
      <w:proofErr w:type="gramEnd"/>
      <w:r w:rsidRPr="00480518">
        <w:rPr>
          <w:rFonts w:cs="Arial"/>
          <w:i/>
          <w:iCs/>
          <w:szCs w:val="24"/>
        </w:rPr>
        <w:t xml:space="preserve"> good relations between persons who share a relevant protected characteristic and persons who do not share it.</w:t>
      </w:r>
    </w:p>
    <w:p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rsidR="001753D8" w:rsidRPr="00480518" w:rsidRDefault="001753D8" w:rsidP="00480518">
      <w:pPr>
        <w:ind w:left="567" w:hanging="567"/>
      </w:pPr>
    </w:p>
    <w:p w:rsidR="00480518" w:rsidRPr="00480518" w:rsidRDefault="00480518" w:rsidP="00480518">
      <w:pPr>
        <w:ind w:left="567" w:hanging="567"/>
        <w:rPr>
          <w:b/>
          <w:sz w:val="28"/>
          <w:szCs w:val="28"/>
        </w:rPr>
      </w:pPr>
      <w:r w:rsidRPr="00480518">
        <w:rPr>
          <w:b/>
          <w:sz w:val="28"/>
          <w:szCs w:val="28"/>
        </w:rPr>
        <w:t xml:space="preserve">Council Priorities </w:t>
      </w:r>
    </w:p>
    <w:p w:rsidR="00480518" w:rsidRPr="00480518" w:rsidRDefault="00480518" w:rsidP="00480518">
      <w:pPr>
        <w:tabs>
          <w:tab w:val="left" w:pos="7470"/>
        </w:tabs>
        <w:ind w:left="567"/>
        <w:rPr>
          <w:rFonts w:cs="Arial"/>
          <w:szCs w:val="24"/>
        </w:rPr>
      </w:pPr>
      <w:r w:rsidRPr="00480518">
        <w:rPr>
          <w:rFonts w:cs="Arial"/>
          <w:szCs w:val="24"/>
        </w:rPr>
        <w:t>The Council’s vision is:</w:t>
      </w:r>
      <w:r w:rsidRPr="00480518">
        <w:rPr>
          <w:rFonts w:cs="Arial"/>
          <w:szCs w:val="24"/>
        </w:rPr>
        <w:tab/>
      </w:r>
    </w:p>
    <w:p w:rsidR="00480518" w:rsidRPr="00480518" w:rsidRDefault="00480518" w:rsidP="00480518">
      <w:pPr>
        <w:ind w:left="567" w:hanging="567"/>
        <w:rPr>
          <w:rFonts w:cs="Arial"/>
          <w:szCs w:val="24"/>
        </w:rPr>
      </w:pPr>
    </w:p>
    <w:p w:rsidR="00480518" w:rsidRPr="00480518" w:rsidRDefault="00480518" w:rsidP="00480518">
      <w:pPr>
        <w:ind w:left="567" w:hanging="567"/>
        <w:rPr>
          <w:rFonts w:cs="Arial"/>
          <w:szCs w:val="24"/>
        </w:rPr>
      </w:pPr>
      <w:r w:rsidRPr="00480518">
        <w:rPr>
          <w:rFonts w:cs="Arial"/>
          <w:b/>
          <w:szCs w:val="24"/>
        </w:rPr>
        <w:t>Working Together to Make a Difference for Harrow</w:t>
      </w:r>
      <w:r w:rsidRPr="00480518">
        <w:rPr>
          <w:rFonts w:cs="Arial"/>
          <w:szCs w:val="24"/>
        </w:rPr>
        <w:t xml:space="preserve"> </w:t>
      </w:r>
    </w:p>
    <w:p w:rsidR="00D372BF" w:rsidRDefault="00480518" w:rsidP="00D372BF">
      <w:pPr>
        <w:ind w:left="567"/>
        <w:jc w:val="both"/>
        <w:rPr>
          <w:rFonts w:cs="Arial"/>
          <w:szCs w:val="24"/>
          <w:lang w:val="en-US"/>
        </w:rPr>
      </w:pPr>
      <w:r w:rsidRPr="00480518">
        <w:t xml:space="preserve">This report deals with the use of financial resources which is </w:t>
      </w:r>
      <w:proofErr w:type="gramStart"/>
      <w:r w:rsidRPr="00480518">
        <w:t>key</w:t>
      </w:r>
      <w:proofErr w:type="gramEnd"/>
      <w:r w:rsidRPr="00480518">
        <w:t xml:space="preserve"> to delivering the </w:t>
      </w:r>
      <w:r w:rsidR="00D372BF" w:rsidRPr="00D372BF">
        <w:rPr>
          <w:rFonts w:cs="Arial"/>
          <w:szCs w:val="24"/>
          <w:lang w:val="en-US"/>
        </w:rPr>
        <w:t xml:space="preserve">priorities of the Harrow Ambition Plan: </w:t>
      </w:r>
    </w:p>
    <w:p w:rsidR="00D372BF" w:rsidRPr="00D372BF" w:rsidRDefault="00D372BF" w:rsidP="00D372BF">
      <w:pPr>
        <w:ind w:left="567"/>
        <w:jc w:val="both"/>
      </w:pPr>
    </w:p>
    <w:p w:rsidR="00D372BF" w:rsidRPr="00D372BF" w:rsidRDefault="00D372BF" w:rsidP="00D372BF">
      <w:pPr>
        <w:numPr>
          <w:ilvl w:val="0"/>
          <w:numId w:val="32"/>
        </w:numPr>
        <w:tabs>
          <w:tab w:val="num" w:pos="2268"/>
        </w:tabs>
        <w:jc w:val="both"/>
      </w:pPr>
      <w:r>
        <w:rPr>
          <w:rFonts w:cs="Arial"/>
          <w:szCs w:val="24"/>
          <w:lang w:val="en-US"/>
        </w:rPr>
        <w:t>Build a Better Harrow</w:t>
      </w:r>
      <w:r w:rsidRPr="00D372BF">
        <w:rPr>
          <w:rFonts w:cs="Arial"/>
          <w:szCs w:val="24"/>
          <w:lang w:val="en-US"/>
        </w:rPr>
        <w:t xml:space="preserve"> </w:t>
      </w:r>
    </w:p>
    <w:p w:rsidR="00D372BF" w:rsidRPr="00D372BF" w:rsidRDefault="00D372BF" w:rsidP="00D372BF">
      <w:pPr>
        <w:numPr>
          <w:ilvl w:val="0"/>
          <w:numId w:val="32"/>
        </w:numPr>
        <w:tabs>
          <w:tab w:val="num" w:pos="2268"/>
        </w:tabs>
        <w:jc w:val="both"/>
      </w:pPr>
      <w:r w:rsidRPr="00D372BF">
        <w:rPr>
          <w:rFonts w:cs="Arial"/>
          <w:szCs w:val="24"/>
          <w:lang w:val="en-US"/>
        </w:rPr>
        <w:t xml:space="preserve">Be More Business-Like and Business Friendly </w:t>
      </w:r>
    </w:p>
    <w:p w:rsidR="00D372BF" w:rsidRPr="00480518" w:rsidRDefault="00D372BF" w:rsidP="00D372BF">
      <w:pPr>
        <w:numPr>
          <w:ilvl w:val="0"/>
          <w:numId w:val="32"/>
        </w:numPr>
        <w:tabs>
          <w:tab w:val="num" w:pos="2268"/>
        </w:tabs>
        <w:jc w:val="both"/>
      </w:pPr>
      <w:r w:rsidRPr="00D372BF">
        <w:rPr>
          <w:rFonts w:cs="Arial"/>
          <w:szCs w:val="24"/>
          <w:lang w:val="en-US"/>
        </w:rPr>
        <w:t xml:space="preserve">Protecting the </w:t>
      </w:r>
      <w:r w:rsidR="00E23647">
        <w:rPr>
          <w:rFonts w:cs="Arial"/>
          <w:szCs w:val="24"/>
          <w:lang w:val="en-US"/>
        </w:rPr>
        <w:t xml:space="preserve">most </w:t>
      </w:r>
      <w:r w:rsidRPr="00D372BF">
        <w:rPr>
          <w:rFonts w:cs="Arial"/>
          <w:szCs w:val="24"/>
          <w:lang w:val="en-US"/>
        </w:rPr>
        <w:t>Vulnerable and Support Families.</w:t>
      </w:r>
    </w:p>
    <w:p w:rsidR="00B14937" w:rsidRDefault="00B14937" w:rsidP="005808FB">
      <w:pPr>
        <w:ind w:right="141"/>
        <w:rPr>
          <w:rFonts w:cs="Arial"/>
          <w:szCs w:val="24"/>
          <w:lang w:val="en-US" w:eastAsia="en-GB"/>
        </w:rPr>
      </w:pPr>
    </w:p>
    <w:p w:rsidR="00014E24" w:rsidRDefault="00014E24" w:rsidP="005808FB">
      <w:pPr>
        <w:ind w:right="141"/>
        <w:rPr>
          <w:rFonts w:cs="Arial"/>
          <w:szCs w:val="24"/>
          <w:lang w:val="en-US" w:eastAsia="en-GB"/>
        </w:rPr>
      </w:pPr>
    </w:p>
    <w:p w:rsidR="00333FAA" w:rsidRPr="00B14937" w:rsidRDefault="00333FAA" w:rsidP="00333FAA">
      <w:pPr>
        <w:pStyle w:val="Heading1"/>
        <w:keepNext/>
        <w:rPr>
          <w:sz w:val="28"/>
          <w:szCs w:val="28"/>
        </w:rPr>
      </w:pPr>
      <w:r w:rsidRPr="00B14937">
        <w:rPr>
          <w:sz w:val="28"/>
          <w:szCs w:val="28"/>
        </w:rPr>
        <w:t>Section 3 - Statutory Officer Clearance</w:t>
      </w:r>
    </w:p>
    <w:p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5"/>
        <w:gridCol w:w="381"/>
        <w:gridCol w:w="234"/>
        <w:gridCol w:w="3585"/>
      </w:tblGrid>
      <w:tr w:rsidR="00333FAA" w:rsidRPr="00D47AA9">
        <w:tc>
          <w:tcPr>
            <w:tcW w:w="4752" w:type="dxa"/>
            <w:tcBorders>
              <w:bottom w:val="nil"/>
              <w:right w:val="nil"/>
            </w:tcBorders>
          </w:tcPr>
          <w:p w:rsidR="00333FAA" w:rsidRPr="00D47AA9" w:rsidRDefault="00333FAA" w:rsidP="00A53B04">
            <w:pPr>
              <w:pStyle w:val="Infotext"/>
              <w:rPr>
                <w:sz w:val="24"/>
                <w:szCs w:val="24"/>
              </w:rPr>
            </w:pP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left w:val="nil"/>
              <w:bottom w:val="nil"/>
              <w:right w:val="nil"/>
            </w:tcBorders>
          </w:tcPr>
          <w:p w:rsidR="00333FAA" w:rsidRPr="00D47AA9" w:rsidRDefault="00333FAA" w:rsidP="00A53B04">
            <w:pPr>
              <w:pStyle w:val="Infotext"/>
              <w:rPr>
                <w:sz w:val="24"/>
                <w:szCs w:val="24"/>
              </w:rPr>
            </w:pPr>
          </w:p>
        </w:tc>
        <w:tc>
          <w:tcPr>
            <w:tcW w:w="3890" w:type="dxa"/>
            <w:tcBorders>
              <w:left w:val="nil"/>
              <w:bottom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p>
        </w:tc>
      </w:tr>
      <w:tr w:rsidR="00333FAA" w:rsidRPr="00D47AA9">
        <w:tc>
          <w:tcPr>
            <w:tcW w:w="4752" w:type="dxa"/>
            <w:tcBorders>
              <w:top w:val="nil"/>
              <w:bottom w:val="nil"/>
            </w:tcBorders>
          </w:tcPr>
          <w:p w:rsidR="00333FAA" w:rsidRPr="00D47AA9" w:rsidRDefault="00333FAA" w:rsidP="009620E2">
            <w:pPr>
              <w:pStyle w:val="Infotext"/>
              <w:rPr>
                <w:sz w:val="24"/>
                <w:szCs w:val="24"/>
              </w:rPr>
            </w:pPr>
            <w:r w:rsidRPr="00D47AA9">
              <w:rPr>
                <w:sz w:val="24"/>
                <w:szCs w:val="24"/>
              </w:rPr>
              <w:t>Name:</w:t>
            </w:r>
            <w:r w:rsidR="00DB6C3D" w:rsidRPr="00D47AA9">
              <w:rPr>
                <w:sz w:val="24"/>
                <w:szCs w:val="24"/>
              </w:rPr>
              <w:t xml:space="preserve"> </w:t>
            </w:r>
            <w:r w:rsidR="00566EB8" w:rsidRPr="00D47AA9">
              <w:rPr>
                <w:sz w:val="24"/>
                <w:szCs w:val="24"/>
              </w:rPr>
              <w:t>Dawn Calvert</w:t>
            </w:r>
          </w:p>
        </w:tc>
        <w:tc>
          <w:tcPr>
            <w:tcW w:w="387" w:type="dxa"/>
            <w:tcBorders>
              <w:bottom w:val="single" w:sz="4" w:space="0" w:color="auto"/>
            </w:tcBorders>
          </w:tcPr>
          <w:p w:rsidR="00333FAA" w:rsidRPr="00D47AA9" w:rsidRDefault="00566EB8" w:rsidP="00A53B04">
            <w:pPr>
              <w:pStyle w:val="Infotext"/>
              <w:rPr>
                <w:sz w:val="24"/>
                <w:szCs w:val="24"/>
              </w:rPr>
            </w:pPr>
            <w:r w:rsidRPr="00D47AA9">
              <w:rPr>
                <w:sz w:val="24"/>
                <w:szCs w:val="24"/>
              </w:rPr>
              <w:t>x</w:t>
            </w:r>
          </w:p>
        </w:tc>
        <w:tc>
          <w:tcPr>
            <w:tcW w:w="236" w:type="dxa"/>
            <w:tcBorders>
              <w:top w:val="nil"/>
              <w:bottom w:val="nil"/>
              <w:right w:val="nil"/>
            </w:tcBorders>
          </w:tcPr>
          <w:p w:rsidR="00333FAA" w:rsidRPr="00D47AA9" w:rsidRDefault="00333FAA" w:rsidP="00A53B04">
            <w:pPr>
              <w:pStyle w:val="Infotext"/>
              <w:rPr>
                <w:sz w:val="24"/>
                <w:szCs w:val="24"/>
              </w:rPr>
            </w:pPr>
          </w:p>
        </w:tc>
        <w:tc>
          <w:tcPr>
            <w:tcW w:w="3890" w:type="dxa"/>
            <w:tcBorders>
              <w:top w:val="nil"/>
              <w:left w:val="nil"/>
              <w:bottom w:val="nil"/>
            </w:tcBorders>
          </w:tcPr>
          <w:p w:rsidR="00333FAA" w:rsidRPr="00D47AA9" w:rsidRDefault="00333FAA" w:rsidP="00A53B04">
            <w:pPr>
              <w:pStyle w:val="Infotext"/>
              <w:rPr>
                <w:sz w:val="24"/>
                <w:szCs w:val="24"/>
              </w:rPr>
            </w:pPr>
            <w:r w:rsidRPr="00D47AA9">
              <w:rPr>
                <w:sz w:val="24"/>
                <w:szCs w:val="24"/>
              </w:rPr>
              <w:t>Chief Financial Officer</w:t>
            </w:r>
          </w:p>
        </w:tc>
      </w:tr>
      <w:tr w:rsidR="00333FAA" w:rsidRPr="00D47AA9">
        <w:tc>
          <w:tcPr>
            <w:tcW w:w="4752" w:type="dxa"/>
            <w:tcBorders>
              <w:top w:val="nil"/>
              <w:right w:val="nil"/>
            </w:tcBorders>
          </w:tcPr>
          <w:p w:rsidR="00333FAA" w:rsidRPr="00D47AA9" w:rsidRDefault="00333FAA" w:rsidP="00A53B04">
            <w:pPr>
              <w:pStyle w:val="Infotext"/>
              <w:rPr>
                <w:sz w:val="24"/>
                <w:szCs w:val="24"/>
              </w:rPr>
            </w:pPr>
            <w:r w:rsidRPr="00D47AA9">
              <w:rPr>
                <w:sz w:val="24"/>
                <w:szCs w:val="24"/>
              </w:rPr>
              <w:t xml:space="preserve"> </w:t>
            </w:r>
          </w:p>
          <w:p w:rsidR="00333FAA" w:rsidRPr="00D47AA9" w:rsidRDefault="00333FAA">
            <w:pPr>
              <w:pStyle w:val="Infotext"/>
              <w:rPr>
                <w:sz w:val="24"/>
                <w:szCs w:val="24"/>
              </w:rPr>
            </w:pPr>
            <w:r w:rsidRPr="00D47AA9">
              <w:rPr>
                <w:sz w:val="24"/>
                <w:szCs w:val="24"/>
              </w:rPr>
              <w:t xml:space="preserve">Date: </w:t>
            </w:r>
            <w:r w:rsidR="00290B2A">
              <w:rPr>
                <w:sz w:val="24"/>
                <w:szCs w:val="24"/>
              </w:rPr>
              <w:t>6 Feb</w:t>
            </w:r>
            <w:r w:rsidR="00735B7E">
              <w:rPr>
                <w:sz w:val="24"/>
                <w:szCs w:val="24"/>
              </w:rPr>
              <w:t>ruary</w:t>
            </w:r>
            <w:r w:rsidR="00290B2A">
              <w:rPr>
                <w:sz w:val="24"/>
                <w:szCs w:val="24"/>
              </w:rPr>
              <w:t xml:space="preserve"> 2017</w:t>
            </w:r>
          </w:p>
        </w:tc>
        <w:tc>
          <w:tcPr>
            <w:tcW w:w="387" w:type="dxa"/>
            <w:tcBorders>
              <w:left w:val="nil"/>
              <w:bottom w:val="single" w:sz="4" w:space="0" w:color="auto"/>
              <w:right w:val="nil"/>
            </w:tcBorders>
          </w:tcPr>
          <w:p w:rsidR="00333FAA" w:rsidRPr="00D47AA9" w:rsidRDefault="00333FAA" w:rsidP="00A53B04">
            <w:pPr>
              <w:pStyle w:val="Infotext"/>
              <w:rPr>
                <w:sz w:val="24"/>
                <w:szCs w:val="24"/>
              </w:rPr>
            </w:pPr>
          </w:p>
        </w:tc>
        <w:tc>
          <w:tcPr>
            <w:tcW w:w="236" w:type="dxa"/>
            <w:tcBorders>
              <w:top w:val="nil"/>
              <w:left w:val="nil"/>
              <w:right w:val="nil"/>
            </w:tcBorders>
          </w:tcPr>
          <w:p w:rsidR="00333FAA" w:rsidRPr="00D47AA9" w:rsidRDefault="00333FAA" w:rsidP="00A53B04">
            <w:pPr>
              <w:pStyle w:val="Infotext"/>
              <w:rPr>
                <w:sz w:val="24"/>
                <w:szCs w:val="24"/>
              </w:rPr>
            </w:pPr>
          </w:p>
        </w:tc>
        <w:tc>
          <w:tcPr>
            <w:tcW w:w="3890" w:type="dxa"/>
            <w:tcBorders>
              <w:top w:val="nil"/>
              <w:left w:val="nil"/>
            </w:tcBorders>
          </w:tcPr>
          <w:p w:rsidR="00333FAA" w:rsidRPr="00D47AA9" w:rsidRDefault="00333FAA" w:rsidP="00A53B04">
            <w:pPr>
              <w:pStyle w:val="Infotext"/>
              <w:rPr>
                <w:sz w:val="24"/>
                <w:szCs w:val="24"/>
              </w:rPr>
            </w:pPr>
          </w:p>
        </w:tc>
      </w:tr>
      <w:tr w:rsidR="00333FAA" w:rsidRPr="00D47AA9">
        <w:tc>
          <w:tcPr>
            <w:tcW w:w="4752" w:type="dxa"/>
            <w:tcBorders>
              <w:bottom w:val="nil"/>
              <w:right w:val="nil"/>
            </w:tcBorders>
          </w:tcPr>
          <w:p w:rsidR="00333FAA" w:rsidRPr="00D47AA9" w:rsidRDefault="00333FAA" w:rsidP="00A53B04">
            <w:pPr>
              <w:pStyle w:val="Infotext"/>
              <w:rPr>
                <w:sz w:val="24"/>
                <w:szCs w:val="24"/>
              </w:rPr>
            </w:pP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left w:val="nil"/>
              <w:bottom w:val="nil"/>
              <w:right w:val="nil"/>
            </w:tcBorders>
          </w:tcPr>
          <w:p w:rsidR="00333FAA" w:rsidRPr="00D47AA9" w:rsidRDefault="00333FAA" w:rsidP="00A53B04">
            <w:pPr>
              <w:pStyle w:val="Infotext"/>
              <w:rPr>
                <w:sz w:val="24"/>
                <w:szCs w:val="24"/>
              </w:rPr>
            </w:pPr>
          </w:p>
        </w:tc>
        <w:tc>
          <w:tcPr>
            <w:tcW w:w="3890" w:type="dxa"/>
            <w:tcBorders>
              <w:left w:val="nil"/>
              <w:bottom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r w:rsidRPr="00D47AA9">
              <w:rPr>
                <w:sz w:val="24"/>
                <w:szCs w:val="24"/>
              </w:rPr>
              <w:t>on behalf of the</w:t>
            </w:r>
            <w:r w:rsidR="001966D7" w:rsidRPr="00D47AA9">
              <w:rPr>
                <w:sz w:val="24"/>
                <w:szCs w:val="24"/>
              </w:rPr>
              <w:t xml:space="preserve"> </w:t>
            </w:r>
          </w:p>
        </w:tc>
      </w:tr>
      <w:tr w:rsidR="00333FAA" w:rsidRPr="00D47AA9">
        <w:tc>
          <w:tcPr>
            <w:tcW w:w="4752" w:type="dxa"/>
            <w:tcBorders>
              <w:top w:val="nil"/>
              <w:bottom w:val="nil"/>
            </w:tcBorders>
          </w:tcPr>
          <w:p w:rsidR="00333FAA" w:rsidRPr="00D47AA9" w:rsidRDefault="00333FAA">
            <w:pPr>
              <w:pStyle w:val="Infotext"/>
              <w:rPr>
                <w:sz w:val="24"/>
                <w:szCs w:val="24"/>
              </w:rPr>
            </w:pPr>
            <w:r w:rsidRPr="00D47AA9">
              <w:rPr>
                <w:sz w:val="24"/>
                <w:szCs w:val="24"/>
              </w:rPr>
              <w:t xml:space="preserve">Name: </w:t>
            </w:r>
            <w:r w:rsidR="00290B2A">
              <w:rPr>
                <w:sz w:val="24"/>
                <w:szCs w:val="24"/>
              </w:rPr>
              <w:t>Jessica Farmer</w:t>
            </w:r>
          </w:p>
        </w:tc>
        <w:tc>
          <w:tcPr>
            <w:tcW w:w="387" w:type="dxa"/>
            <w:tcBorders>
              <w:bottom w:val="single" w:sz="4" w:space="0" w:color="auto"/>
            </w:tcBorders>
          </w:tcPr>
          <w:p w:rsidR="00333FAA" w:rsidRPr="00D47AA9" w:rsidRDefault="00290B2A" w:rsidP="00A53B04">
            <w:pPr>
              <w:pStyle w:val="Infotext"/>
              <w:rPr>
                <w:sz w:val="24"/>
                <w:szCs w:val="24"/>
              </w:rPr>
            </w:pPr>
            <w:r>
              <w:rPr>
                <w:sz w:val="24"/>
                <w:szCs w:val="24"/>
              </w:rPr>
              <w:t>x</w:t>
            </w:r>
          </w:p>
        </w:tc>
        <w:tc>
          <w:tcPr>
            <w:tcW w:w="236" w:type="dxa"/>
            <w:tcBorders>
              <w:top w:val="nil"/>
              <w:bottom w:val="nil"/>
              <w:right w:val="nil"/>
            </w:tcBorders>
          </w:tcPr>
          <w:p w:rsidR="00333FAA" w:rsidRPr="00D47AA9" w:rsidRDefault="00333FAA" w:rsidP="00A53B04">
            <w:pPr>
              <w:pStyle w:val="Infotext"/>
              <w:rPr>
                <w:sz w:val="24"/>
                <w:szCs w:val="24"/>
              </w:rPr>
            </w:pPr>
          </w:p>
        </w:tc>
        <w:tc>
          <w:tcPr>
            <w:tcW w:w="3890" w:type="dxa"/>
            <w:tcBorders>
              <w:top w:val="nil"/>
              <w:left w:val="nil"/>
              <w:bottom w:val="nil"/>
            </w:tcBorders>
          </w:tcPr>
          <w:p w:rsidR="00333FAA" w:rsidRPr="00D47AA9" w:rsidRDefault="00333FAA" w:rsidP="00A53B04">
            <w:pPr>
              <w:pStyle w:val="Infotext"/>
              <w:rPr>
                <w:sz w:val="24"/>
                <w:szCs w:val="24"/>
              </w:rPr>
            </w:pPr>
            <w:r w:rsidRPr="00D47AA9">
              <w:rPr>
                <w:sz w:val="24"/>
                <w:szCs w:val="24"/>
              </w:rPr>
              <w:t>Monitoring Officer</w:t>
            </w:r>
          </w:p>
        </w:tc>
      </w:tr>
      <w:tr w:rsidR="00333FAA" w:rsidRPr="00D47AA9">
        <w:tc>
          <w:tcPr>
            <w:tcW w:w="4752" w:type="dxa"/>
            <w:tcBorders>
              <w:top w:val="nil"/>
              <w:right w:val="nil"/>
            </w:tcBorders>
          </w:tcPr>
          <w:p w:rsidR="00333FAA" w:rsidRPr="00D47AA9" w:rsidRDefault="00333FAA" w:rsidP="00A53B04">
            <w:pPr>
              <w:pStyle w:val="Infotext"/>
              <w:rPr>
                <w:sz w:val="24"/>
                <w:szCs w:val="24"/>
              </w:rPr>
            </w:pPr>
          </w:p>
          <w:p w:rsidR="00333FAA" w:rsidRPr="00D47AA9" w:rsidRDefault="00333FAA">
            <w:pPr>
              <w:pStyle w:val="Infotext"/>
              <w:rPr>
                <w:sz w:val="24"/>
                <w:szCs w:val="24"/>
              </w:rPr>
            </w:pPr>
            <w:r w:rsidRPr="00D47AA9">
              <w:rPr>
                <w:sz w:val="24"/>
                <w:szCs w:val="24"/>
              </w:rPr>
              <w:t xml:space="preserve">Date: </w:t>
            </w:r>
            <w:r w:rsidR="00290B2A">
              <w:rPr>
                <w:sz w:val="24"/>
                <w:szCs w:val="24"/>
              </w:rPr>
              <w:t>2 Feb</w:t>
            </w:r>
            <w:r w:rsidR="00735B7E">
              <w:rPr>
                <w:sz w:val="24"/>
                <w:szCs w:val="24"/>
              </w:rPr>
              <w:t>ruary</w:t>
            </w:r>
            <w:bookmarkStart w:id="0" w:name="_GoBack"/>
            <w:bookmarkEnd w:id="0"/>
            <w:r w:rsidR="00290B2A">
              <w:rPr>
                <w:sz w:val="24"/>
                <w:szCs w:val="24"/>
              </w:rPr>
              <w:t xml:space="preserve"> 2017</w:t>
            </w: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top w:val="nil"/>
              <w:left w:val="nil"/>
              <w:right w:val="nil"/>
            </w:tcBorders>
          </w:tcPr>
          <w:p w:rsidR="00333FAA" w:rsidRPr="00D47AA9" w:rsidRDefault="00333FAA" w:rsidP="00A53B04">
            <w:pPr>
              <w:pStyle w:val="Infotext"/>
              <w:rPr>
                <w:sz w:val="24"/>
                <w:szCs w:val="24"/>
              </w:rPr>
            </w:pPr>
          </w:p>
        </w:tc>
        <w:tc>
          <w:tcPr>
            <w:tcW w:w="3890" w:type="dxa"/>
            <w:tcBorders>
              <w:top w:val="nil"/>
              <w:left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p>
        </w:tc>
      </w:tr>
    </w:tbl>
    <w:p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trPr>
          <w:trHeight w:val="965"/>
        </w:trPr>
        <w:tc>
          <w:tcPr>
            <w:tcW w:w="3025" w:type="pct"/>
            <w:tcBorders>
              <w:right w:val="nil"/>
            </w:tcBorders>
          </w:tcPr>
          <w:p w:rsidR="00333FAA" w:rsidRPr="00D47AA9" w:rsidRDefault="00333FAA" w:rsidP="00A53B04">
            <w:pPr>
              <w:pStyle w:val="Infotext"/>
              <w:rPr>
                <w:rFonts w:ascii="Arial Black" w:hAnsi="Arial Black"/>
                <w:sz w:val="24"/>
                <w:szCs w:val="24"/>
              </w:rPr>
            </w:pPr>
          </w:p>
          <w:p w:rsidR="00333FAA" w:rsidRPr="00D47AA9" w:rsidRDefault="00333FAA" w:rsidP="00A53B04">
            <w:pPr>
              <w:pStyle w:val="Infotext"/>
              <w:rPr>
                <w:rFonts w:ascii="Arial Black" w:hAnsi="Arial Black"/>
                <w:sz w:val="24"/>
                <w:szCs w:val="24"/>
              </w:rPr>
            </w:pPr>
            <w:r w:rsidRPr="00D47AA9">
              <w:rPr>
                <w:rFonts w:ascii="Arial Black" w:hAnsi="Arial Black"/>
                <w:sz w:val="24"/>
                <w:szCs w:val="24"/>
              </w:rPr>
              <w:t>Ward Councillors notified:</w:t>
            </w:r>
          </w:p>
          <w:p w:rsidR="00333FAA" w:rsidRPr="00D47AA9" w:rsidRDefault="00333FAA" w:rsidP="00A53B04">
            <w:pPr>
              <w:pStyle w:val="Infotext"/>
              <w:rPr>
                <w:color w:val="FF0000"/>
                <w:sz w:val="24"/>
                <w:szCs w:val="24"/>
              </w:rPr>
            </w:pPr>
          </w:p>
        </w:tc>
        <w:tc>
          <w:tcPr>
            <w:tcW w:w="1975" w:type="pct"/>
            <w:tcBorders>
              <w:left w:val="nil"/>
            </w:tcBorders>
          </w:tcPr>
          <w:p w:rsidR="00333FAA" w:rsidRPr="00D47AA9" w:rsidRDefault="00333FAA" w:rsidP="00A53B04">
            <w:pPr>
              <w:pStyle w:val="Infotext"/>
              <w:rPr>
                <w:sz w:val="24"/>
                <w:szCs w:val="24"/>
              </w:rPr>
            </w:pPr>
          </w:p>
          <w:p w:rsidR="00333FAA" w:rsidRPr="00D47AA9" w:rsidRDefault="00333FAA" w:rsidP="00D47AA9">
            <w:pPr>
              <w:pStyle w:val="Infotext"/>
              <w:spacing w:before="120"/>
              <w:rPr>
                <w:i/>
                <w:sz w:val="24"/>
                <w:szCs w:val="24"/>
              </w:rPr>
            </w:pPr>
            <w:r w:rsidRPr="00D47AA9">
              <w:rPr>
                <w:b/>
                <w:sz w:val="24"/>
                <w:szCs w:val="24"/>
              </w:rPr>
              <w:t xml:space="preserve">NO, as it impacts on all Wards </w:t>
            </w:r>
          </w:p>
        </w:tc>
      </w:tr>
      <w:tr w:rsidR="00333FAA" w:rsidRPr="00303FD6">
        <w:trPr>
          <w:trHeight w:val="965"/>
        </w:trPr>
        <w:tc>
          <w:tcPr>
            <w:tcW w:w="3025" w:type="pct"/>
            <w:tcBorders>
              <w:right w:val="nil"/>
            </w:tcBorders>
          </w:tcPr>
          <w:p w:rsidR="00333FAA" w:rsidRPr="00D47AA9" w:rsidRDefault="00333FAA" w:rsidP="00A53B04">
            <w:pPr>
              <w:pStyle w:val="Infotext"/>
              <w:rPr>
                <w:rFonts w:ascii="Arial Black" w:hAnsi="Arial Black"/>
                <w:color w:val="FF0000"/>
                <w:sz w:val="24"/>
                <w:szCs w:val="24"/>
              </w:rPr>
            </w:pPr>
          </w:p>
          <w:p w:rsidR="00333FAA" w:rsidRPr="00D47AA9" w:rsidRDefault="00333FAA" w:rsidP="00A53B04">
            <w:pPr>
              <w:pStyle w:val="Infotext"/>
              <w:rPr>
                <w:rFonts w:ascii="Arial Black" w:hAnsi="Arial Black"/>
                <w:sz w:val="24"/>
                <w:szCs w:val="24"/>
              </w:rPr>
            </w:pPr>
            <w:r w:rsidRPr="00D47AA9">
              <w:rPr>
                <w:rFonts w:ascii="Arial Black" w:hAnsi="Arial Black"/>
                <w:sz w:val="24"/>
                <w:szCs w:val="24"/>
              </w:rPr>
              <w:t>EqIA carried out:</w:t>
            </w:r>
          </w:p>
          <w:p w:rsidR="00333FAA" w:rsidRPr="00D47AA9" w:rsidRDefault="00333FAA" w:rsidP="00A53B04">
            <w:pPr>
              <w:pStyle w:val="Infotext"/>
              <w:rPr>
                <w:rFonts w:ascii="Arial Black" w:hAnsi="Arial Black"/>
                <w:sz w:val="24"/>
                <w:szCs w:val="24"/>
              </w:rPr>
            </w:pPr>
          </w:p>
          <w:p w:rsidR="00333FAA" w:rsidRPr="00D47AA9" w:rsidRDefault="00333FAA" w:rsidP="00A53B04">
            <w:pPr>
              <w:pStyle w:val="Infotext"/>
              <w:rPr>
                <w:rFonts w:ascii="Arial Black" w:hAnsi="Arial Black"/>
                <w:color w:val="FF0000"/>
                <w:sz w:val="24"/>
                <w:szCs w:val="24"/>
              </w:rPr>
            </w:pPr>
            <w:r w:rsidRPr="00D47AA9">
              <w:rPr>
                <w:rFonts w:ascii="Arial Black" w:hAnsi="Arial Black"/>
                <w:sz w:val="24"/>
                <w:szCs w:val="24"/>
              </w:rPr>
              <w:t>EqIA cleared by:</w:t>
            </w:r>
          </w:p>
        </w:tc>
        <w:tc>
          <w:tcPr>
            <w:tcW w:w="1975" w:type="pct"/>
            <w:tcBorders>
              <w:left w:val="nil"/>
            </w:tcBorders>
          </w:tcPr>
          <w:p w:rsidR="00333FAA" w:rsidRPr="00D47AA9" w:rsidRDefault="00333FAA" w:rsidP="00A53B04">
            <w:pPr>
              <w:pStyle w:val="Infotext"/>
              <w:rPr>
                <w:b/>
                <w:color w:val="FF0000"/>
                <w:sz w:val="24"/>
                <w:szCs w:val="24"/>
              </w:rPr>
            </w:pPr>
          </w:p>
          <w:p w:rsidR="00333FAA" w:rsidRPr="00D47AA9" w:rsidRDefault="00202D79" w:rsidP="00A53B04">
            <w:pPr>
              <w:pStyle w:val="Infotext"/>
              <w:rPr>
                <w:b/>
                <w:sz w:val="24"/>
                <w:szCs w:val="24"/>
              </w:rPr>
            </w:pPr>
            <w:r w:rsidRPr="00D47AA9">
              <w:rPr>
                <w:b/>
                <w:sz w:val="24"/>
                <w:szCs w:val="24"/>
              </w:rPr>
              <w:t xml:space="preserve"> </w:t>
            </w:r>
            <w:r w:rsidR="00480518" w:rsidRPr="00D47AA9">
              <w:rPr>
                <w:b/>
                <w:sz w:val="24"/>
                <w:szCs w:val="24"/>
              </w:rPr>
              <w:t>NO</w:t>
            </w:r>
          </w:p>
          <w:p w:rsidR="00480518" w:rsidRPr="00D47AA9" w:rsidRDefault="00480518" w:rsidP="00A53B04">
            <w:pPr>
              <w:pStyle w:val="Infotext"/>
              <w:rPr>
                <w:sz w:val="24"/>
                <w:szCs w:val="24"/>
              </w:rPr>
            </w:pPr>
          </w:p>
          <w:p w:rsidR="00480518" w:rsidRPr="00D47AA9" w:rsidRDefault="00480518" w:rsidP="00A53B04">
            <w:pPr>
              <w:pStyle w:val="Infotext"/>
              <w:rPr>
                <w:sz w:val="24"/>
                <w:szCs w:val="24"/>
              </w:rPr>
            </w:pPr>
          </w:p>
          <w:p w:rsidR="00333FAA" w:rsidRPr="00D47AA9" w:rsidRDefault="00480518" w:rsidP="00480518">
            <w:pPr>
              <w:pStyle w:val="Infotext"/>
              <w:rPr>
                <w:color w:val="FF0000"/>
                <w:sz w:val="24"/>
                <w:szCs w:val="24"/>
              </w:rPr>
            </w:pPr>
            <w:r w:rsidRPr="00D47AA9">
              <w:rPr>
                <w:sz w:val="24"/>
                <w:szCs w:val="24"/>
              </w:rPr>
              <w:t>Any projects with potential impacts will separately be required to do an impact assessment.</w:t>
            </w:r>
          </w:p>
        </w:tc>
      </w:tr>
    </w:tbl>
    <w:p w:rsidR="00333FAA" w:rsidRDefault="00333FAA" w:rsidP="00333FAA"/>
    <w:p w:rsidR="00333FAA" w:rsidRPr="00C64714" w:rsidRDefault="00333FAA" w:rsidP="00333FAA">
      <w:pPr>
        <w:pStyle w:val="Heading1"/>
        <w:keepNext/>
        <w:rPr>
          <w:sz w:val="24"/>
          <w:szCs w:val="24"/>
        </w:rPr>
      </w:pPr>
      <w:r w:rsidRPr="00C64714">
        <w:rPr>
          <w:sz w:val="24"/>
          <w:szCs w:val="24"/>
        </w:rPr>
        <w:t xml:space="preserve">Section </w:t>
      </w:r>
      <w:r w:rsidR="00A20113" w:rsidRPr="00C64714">
        <w:rPr>
          <w:sz w:val="24"/>
          <w:szCs w:val="24"/>
        </w:rPr>
        <w:t>4</w:t>
      </w:r>
      <w:r w:rsidRPr="00C64714">
        <w:rPr>
          <w:sz w:val="24"/>
          <w:szCs w:val="24"/>
        </w:rPr>
        <w:t xml:space="preserve"> - Contact Details and Background Papers</w:t>
      </w:r>
    </w:p>
    <w:p w:rsidR="00333FAA" w:rsidRDefault="00333FAA" w:rsidP="00333FAA">
      <w:pPr>
        <w:keepNext/>
        <w:rPr>
          <w:rFonts w:cs="Arial"/>
        </w:rPr>
      </w:pPr>
    </w:p>
    <w:p w:rsidR="00480518" w:rsidRPr="00D47AA9" w:rsidRDefault="00333FAA" w:rsidP="00333FAA">
      <w:pPr>
        <w:pStyle w:val="Infotext"/>
        <w:rPr>
          <w:sz w:val="24"/>
          <w:szCs w:val="24"/>
        </w:rPr>
      </w:pPr>
      <w:r w:rsidRPr="00D47AA9">
        <w:rPr>
          <w:b/>
          <w:sz w:val="24"/>
          <w:szCs w:val="24"/>
        </w:rPr>
        <w:t xml:space="preserve">Contact:  </w:t>
      </w:r>
      <w:r w:rsidR="00E23647" w:rsidRPr="00D47AA9">
        <w:rPr>
          <w:b/>
          <w:sz w:val="24"/>
          <w:szCs w:val="24"/>
        </w:rPr>
        <w:t>Sharon Daniels</w:t>
      </w:r>
      <w:r w:rsidR="00480518" w:rsidRPr="00D47AA9">
        <w:rPr>
          <w:sz w:val="24"/>
          <w:szCs w:val="24"/>
        </w:rPr>
        <w:t xml:space="preserve">, </w:t>
      </w:r>
      <w:r w:rsidR="00E23647" w:rsidRPr="00D47AA9">
        <w:rPr>
          <w:sz w:val="24"/>
          <w:szCs w:val="24"/>
        </w:rPr>
        <w:t>Head of Strategic and Technical Finance</w:t>
      </w:r>
      <w:r w:rsidR="00480518" w:rsidRPr="00D47AA9">
        <w:rPr>
          <w:sz w:val="24"/>
          <w:szCs w:val="24"/>
        </w:rPr>
        <w:t xml:space="preserve"> (</w:t>
      </w:r>
      <w:r w:rsidR="00E23647" w:rsidRPr="00D47AA9">
        <w:rPr>
          <w:sz w:val="24"/>
          <w:szCs w:val="24"/>
        </w:rPr>
        <w:t>Deputy S151)</w:t>
      </w:r>
      <w:r w:rsidR="00480518" w:rsidRPr="00D47AA9">
        <w:rPr>
          <w:sz w:val="24"/>
          <w:szCs w:val="24"/>
        </w:rPr>
        <w:t xml:space="preserve"> </w:t>
      </w:r>
    </w:p>
    <w:p w:rsidR="00480518" w:rsidRPr="00D47AA9" w:rsidRDefault="00480518" w:rsidP="00333FAA">
      <w:pPr>
        <w:pStyle w:val="Infotext"/>
        <w:rPr>
          <w:sz w:val="24"/>
          <w:szCs w:val="24"/>
        </w:rPr>
      </w:pPr>
      <w:r w:rsidRPr="00D47AA9">
        <w:rPr>
          <w:sz w:val="24"/>
          <w:szCs w:val="24"/>
        </w:rPr>
        <w:t xml:space="preserve">Email: </w:t>
      </w:r>
      <w:hyperlink r:id="rId12" w:history="1">
        <w:r w:rsidR="00E23647" w:rsidRPr="00D47AA9">
          <w:rPr>
            <w:rStyle w:val="Hyperlink"/>
            <w:sz w:val="24"/>
            <w:szCs w:val="24"/>
          </w:rPr>
          <w:t>sharon.daniels@harrow.gov.uk</w:t>
        </w:r>
      </w:hyperlink>
    </w:p>
    <w:p w:rsidR="00333FAA" w:rsidRDefault="00333FAA" w:rsidP="00333FAA"/>
    <w:p w:rsidR="00333FAA" w:rsidRDefault="00333FAA" w:rsidP="00333FAA">
      <w:pPr>
        <w:pStyle w:val="Infotext"/>
      </w:pPr>
      <w:r w:rsidRPr="004E47FC">
        <w:rPr>
          <w:b/>
        </w:rPr>
        <w:t xml:space="preserve">Background Papers: </w:t>
      </w:r>
      <w:r w:rsidR="005808FB">
        <w:rPr>
          <w:b/>
        </w:rPr>
        <w:t xml:space="preserve"> </w:t>
      </w:r>
      <w:r w:rsidR="00480518" w:rsidRPr="00480518">
        <w:t>None</w:t>
      </w:r>
    </w:p>
    <w:p w:rsidR="00735B7E" w:rsidRPr="00480518" w:rsidRDefault="00735B7E"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trPr>
          <w:trHeight w:val="965"/>
        </w:trPr>
        <w:tc>
          <w:tcPr>
            <w:tcW w:w="2210" w:type="pct"/>
            <w:tcBorders>
              <w:right w:val="nil"/>
            </w:tcBorders>
          </w:tcPr>
          <w:p w:rsidR="00333FAA" w:rsidRDefault="00333FAA" w:rsidP="00A53B04">
            <w:pPr>
              <w:pStyle w:val="Infotext"/>
            </w:pPr>
          </w:p>
          <w:p w:rsidR="00333FAA" w:rsidRPr="00C64714" w:rsidRDefault="00333FAA" w:rsidP="00A53B04">
            <w:pPr>
              <w:pStyle w:val="Infotext"/>
              <w:rPr>
                <w:rFonts w:ascii="Arial Black" w:hAnsi="Arial Black"/>
                <w:sz w:val="24"/>
                <w:szCs w:val="24"/>
              </w:rPr>
            </w:pPr>
            <w:r w:rsidRPr="00C64714">
              <w:rPr>
                <w:rFonts w:ascii="Arial Black" w:hAnsi="Arial Black"/>
                <w:sz w:val="24"/>
                <w:szCs w:val="24"/>
              </w:rPr>
              <w:t>Call-In Waived by the Chairman of Overview and Scrutiny Committee</w:t>
            </w:r>
          </w:p>
          <w:p w:rsidR="00333FAA" w:rsidRDefault="00333FAA" w:rsidP="00735B7E">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NOT APPLICABLE</w:t>
            </w:r>
          </w:p>
          <w:p w:rsidR="00333FAA" w:rsidRDefault="00333FAA" w:rsidP="00A53B04">
            <w:pPr>
              <w:pStyle w:val="Infotext"/>
            </w:pPr>
          </w:p>
          <w:p w:rsidR="00333FAA" w:rsidRPr="00735B7E" w:rsidRDefault="00735B7E" w:rsidP="00A53B04">
            <w:pPr>
              <w:pStyle w:val="Infotext"/>
              <w:rPr>
                <w:i/>
              </w:rPr>
            </w:pPr>
            <w:r>
              <w:rPr>
                <w:i/>
              </w:rPr>
              <w:t>[Call-in does not apply as the decision is reserved to Council]</w:t>
            </w:r>
          </w:p>
          <w:p w:rsidR="00333FAA" w:rsidRDefault="00333FAA" w:rsidP="00A53B04">
            <w:pPr>
              <w:pStyle w:val="Infotext"/>
            </w:pPr>
          </w:p>
          <w:p w:rsidR="00333FAA" w:rsidRPr="003D78F6" w:rsidRDefault="00333FAA" w:rsidP="00A53B04">
            <w:pPr>
              <w:pStyle w:val="Infotext"/>
              <w:ind w:left="173"/>
              <w:rPr>
                <w:i/>
                <w:sz w:val="24"/>
                <w:szCs w:val="24"/>
              </w:rPr>
            </w:pPr>
          </w:p>
        </w:tc>
      </w:tr>
    </w:tbl>
    <w:p w:rsidR="00333FAA" w:rsidRDefault="00333FAA" w:rsidP="00FA1D36">
      <w:pPr>
        <w:pStyle w:val="Infotext"/>
      </w:pPr>
    </w:p>
    <w:sectPr w:rsidR="00333FAA" w:rsidSect="001E3C06">
      <w:footerReference w:type="first" r:id="rId13"/>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9C" w:rsidRDefault="0017619C">
      <w:r>
        <w:separator/>
      </w:r>
    </w:p>
  </w:endnote>
  <w:endnote w:type="continuationSeparator" w:id="0">
    <w:p w:rsidR="0017619C" w:rsidRDefault="0017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35ACo00">
    <w:panose1 w:val="00000000000000000000"/>
    <w:charset w:val="00"/>
    <w:family w:val="auto"/>
    <w:notTrueType/>
    <w:pitch w:val="default"/>
    <w:sig w:usb0="00000003" w:usb1="00000000" w:usb2="00000000" w:usb3="00000000" w:csb0="00000001" w:csb1="00000000"/>
  </w:font>
  <w:font w:name="TT35A9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9C" w:rsidRPr="008C69F5" w:rsidRDefault="0017619C" w:rsidP="00A53B04">
    <w:pPr>
      <w:pStyle w:val="Footer"/>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9C" w:rsidRDefault="0017619C">
      <w:r>
        <w:separator/>
      </w:r>
    </w:p>
  </w:footnote>
  <w:footnote w:type="continuationSeparator" w:id="0">
    <w:p w:rsidR="0017619C" w:rsidRDefault="00176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3167EC"/>
    <w:multiLevelType w:val="hybridMultilevel"/>
    <w:tmpl w:val="958A6E76"/>
    <w:lvl w:ilvl="0" w:tplc="EE4097F2">
      <w:start w:val="1"/>
      <w:numFmt w:val="decimal"/>
      <w:lvlText w:val="%1."/>
      <w:lvlJc w:val="left"/>
      <w:pPr>
        <w:tabs>
          <w:tab w:val="num" w:pos="360"/>
        </w:tabs>
        <w:ind w:left="360" w:hanging="360"/>
      </w:pPr>
      <w:rPr>
        <w:rFonts w:cs="Times New Roman"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6F6A49"/>
    <w:multiLevelType w:val="hybridMultilevel"/>
    <w:tmpl w:val="CDB88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0"/>
  </w:num>
  <w:num w:numId="3">
    <w:abstractNumId w:val="12"/>
  </w:num>
  <w:num w:numId="4">
    <w:abstractNumId w:val="35"/>
  </w:num>
  <w:num w:numId="5">
    <w:abstractNumId w:val="29"/>
  </w:num>
  <w:num w:numId="6">
    <w:abstractNumId w:val="16"/>
  </w:num>
  <w:num w:numId="7">
    <w:abstractNumId w:val="2"/>
  </w:num>
  <w:num w:numId="8">
    <w:abstractNumId w:val="23"/>
  </w:num>
  <w:num w:numId="9">
    <w:abstractNumId w:val="24"/>
  </w:num>
  <w:num w:numId="10">
    <w:abstractNumId w:val="33"/>
  </w:num>
  <w:num w:numId="11">
    <w:abstractNumId w:val="10"/>
  </w:num>
  <w:num w:numId="12">
    <w:abstractNumId w:val="21"/>
  </w:num>
  <w:num w:numId="13">
    <w:abstractNumId w:val="22"/>
  </w:num>
  <w:num w:numId="14">
    <w:abstractNumId w:val="11"/>
  </w:num>
  <w:num w:numId="15">
    <w:abstractNumId w:val="26"/>
  </w:num>
  <w:num w:numId="16">
    <w:abstractNumId w:val="14"/>
  </w:num>
  <w:num w:numId="17">
    <w:abstractNumId w:val="28"/>
  </w:num>
  <w:num w:numId="18">
    <w:abstractNumId w:val="19"/>
  </w:num>
  <w:num w:numId="19">
    <w:abstractNumId w:val="32"/>
  </w:num>
  <w:num w:numId="20">
    <w:abstractNumId w:val="4"/>
  </w:num>
  <w:num w:numId="21">
    <w:abstractNumId w:val="1"/>
  </w:num>
  <w:num w:numId="22">
    <w:abstractNumId w:val="5"/>
  </w:num>
  <w:num w:numId="23">
    <w:abstractNumId w:val="25"/>
  </w:num>
  <w:num w:numId="24">
    <w:abstractNumId w:val="7"/>
  </w:num>
  <w:num w:numId="25">
    <w:abstractNumId w:val="17"/>
  </w:num>
  <w:num w:numId="26">
    <w:abstractNumId w:val="0"/>
  </w:num>
  <w:num w:numId="27">
    <w:abstractNumId w:val="6"/>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9"/>
  </w:num>
  <w:num w:numId="32">
    <w:abstractNumId w:val="34"/>
  </w:num>
  <w:num w:numId="3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1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7/11/2015 17:26"/>
  </w:docVars>
  <w:rsids>
    <w:rsidRoot w:val="00333FAA"/>
    <w:rsid w:val="0000089B"/>
    <w:rsid w:val="00012D4E"/>
    <w:rsid w:val="00014E24"/>
    <w:rsid w:val="0004029A"/>
    <w:rsid w:val="00040D5B"/>
    <w:rsid w:val="000429FF"/>
    <w:rsid w:val="00056F6C"/>
    <w:rsid w:val="0006034E"/>
    <w:rsid w:val="00063783"/>
    <w:rsid w:val="00064917"/>
    <w:rsid w:val="00072057"/>
    <w:rsid w:val="00072413"/>
    <w:rsid w:val="00073765"/>
    <w:rsid w:val="00085BAE"/>
    <w:rsid w:val="0008612D"/>
    <w:rsid w:val="000864E7"/>
    <w:rsid w:val="000B3963"/>
    <w:rsid w:val="000B788F"/>
    <w:rsid w:val="000C14C9"/>
    <w:rsid w:val="000C1C72"/>
    <w:rsid w:val="000D1EBB"/>
    <w:rsid w:val="000D4DCF"/>
    <w:rsid w:val="000F0E6F"/>
    <w:rsid w:val="00105B2C"/>
    <w:rsid w:val="001161E4"/>
    <w:rsid w:val="00125A26"/>
    <w:rsid w:val="00137923"/>
    <w:rsid w:val="00137998"/>
    <w:rsid w:val="0015448F"/>
    <w:rsid w:val="001548D5"/>
    <w:rsid w:val="001753D8"/>
    <w:rsid w:val="0017619C"/>
    <w:rsid w:val="001840D2"/>
    <w:rsid w:val="00187DD5"/>
    <w:rsid w:val="001931D8"/>
    <w:rsid w:val="001966D7"/>
    <w:rsid w:val="001B7F07"/>
    <w:rsid w:val="001C4D2E"/>
    <w:rsid w:val="001C7E35"/>
    <w:rsid w:val="001D438F"/>
    <w:rsid w:val="001E3C06"/>
    <w:rsid w:val="001F0BE9"/>
    <w:rsid w:val="001F14F9"/>
    <w:rsid w:val="001F44EC"/>
    <w:rsid w:val="00202D79"/>
    <w:rsid w:val="00205D2F"/>
    <w:rsid w:val="00210415"/>
    <w:rsid w:val="002138BE"/>
    <w:rsid w:val="00215E8F"/>
    <w:rsid w:val="00227FA6"/>
    <w:rsid w:val="00231182"/>
    <w:rsid w:val="002478C4"/>
    <w:rsid w:val="00253BB4"/>
    <w:rsid w:val="002548D1"/>
    <w:rsid w:val="00261477"/>
    <w:rsid w:val="0028019B"/>
    <w:rsid w:val="0028164B"/>
    <w:rsid w:val="00290B2A"/>
    <w:rsid w:val="002A49D2"/>
    <w:rsid w:val="002B54A6"/>
    <w:rsid w:val="002F31B1"/>
    <w:rsid w:val="002F3EE9"/>
    <w:rsid w:val="00306856"/>
    <w:rsid w:val="00315E65"/>
    <w:rsid w:val="00333FAA"/>
    <w:rsid w:val="003355D7"/>
    <w:rsid w:val="003448A6"/>
    <w:rsid w:val="003532AB"/>
    <w:rsid w:val="003605E7"/>
    <w:rsid w:val="0036201C"/>
    <w:rsid w:val="003628D7"/>
    <w:rsid w:val="00373D62"/>
    <w:rsid w:val="00391922"/>
    <w:rsid w:val="00395BE1"/>
    <w:rsid w:val="003B44AD"/>
    <w:rsid w:val="003D609A"/>
    <w:rsid w:val="003E097B"/>
    <w:rsid w:val="003E29AC"/>
    <w:rsid w:val="004076C8"/>
    <w:rsid w:val="00421A4C"/>
    <w:rsid w:val="00432899"/>
    <w:rsid w:val="004363F7"/>
    <w:rsid w:val="00461E22"/>
    <w:rsid w:val="00471C1F"/>
    <w:rsid w:val="00480518"/>
    <w:rsid w:val="004976DB"/>
    <w:rsid w:val="004A76E0"/>
    <w:rsid w:val="004C0246"/>
    <w:rsid w:val="004D2DA0"/>
    <w:rsid w:val="004E14A4"/>
    <w:rsid w:val="004E72BB"/>
    <w:rsid w:val="005354D0"/>
    <w:rsid w:val="0054590F"/>
    <w:rsid w:val="00566EB8"/>
    <w:rsid w:val="005718B5"/>
    <w:rsid w:val="005808FB"/>
    <w:rsid w:val="005867D6"/>
    <w:rsid w:val="00595267"/>
    <w:rsid w:val="005A0FFD"/>
    <w:rsid w:val="005B17A9"/>
    <w:rsid w:val="005B1B67"/>
    <w:rsid w:val="005B2217"/>
    <w:rsid w:val="005B32A5"/>
    <w:rsid w:val="005B3F67"/>
    <w:rsid w:val="005C22E2"/>
    <w:rsid w:val="005D6EF5"/>
    <w:rsid w:val="005D7F38"/>
    <w:rsid w:val="005E3A10"/>
    <w:rsid w:val="005E7509"/>
    <w:rsid w:val="0062246A"/>
    <w:rsid w:val="00627675"/>
    <w:rsid w:val="00646600"/>
    <w:rsid w:val="00655044"/>
    <w:rsid w:val="00661C20"/>
    <w:rsid w:val="00662C0B"/>
    <w:rsid w:val="00670F17"/>
    <w:rsid w:val="00684A84"/>
    <w:rsid w:val="00693072"/>
    <w:rsid w:val="00696A83"/>
    <w:rsid w:val="006A7CB2"/>
    <w:rsid w:val="006D0A1B"/>
    <w:rsid w:val="006D68FB"/>
    <w:rsid w:val="006E5E7A"/>
    <w:rsid w:val="006F057C"/>
    <w:rsid w:val="006F22DA"/>
    <w:rsid w:val="006F2EB3"/>
    <w:rsid w:val="006F57C2"/>
    <w:rsid w:val="007010E5"/>
    <w:rsid w:val="00714BEE"/>
    <w:rsid w:val="00721215"/>
    <w:rsid w:val="00735B7E"/>
    <w:rsid w:val="007420BD"/>
    <w:rsid w:val="007510B9"/>
    <w:rsid w:val="007B23FC"/>
    <w:rsid w:val="007B7A26"/>
    <w:rsid w:val="007C49E5"/>
    <w:rsid w:val="007D0C1D"/>
    <w:rsid w:val="007D4DBF"/>
    <w:rsid w:val="007E360D"/>
    <w:rsid w:val="007E4732"/>
    <w:rsid w:val="007F004E"/>
    <w:rsid w:val="007F4BDA"/>
    <w:rsid w:val="00812901"/>
    <w:rsid w:val="00826B9A"/>
    <w:rsid w:val="008648EE"/>
    <w:rsid w:val="008916DC"/>
    <w:rsid w:val="008A0D1E"/>
    <w:rsid w:val="008B2D4F"/>
    <w:rsid w:val="008D49CA"/>
    <w:rsid w:val="008D78F9"/>
    <w:rsid w:val="008E224D"/>
    <w:rsid w:val="009151D2"/>
    <w:rsid w:val="009248A8"/>
    <w:rsid w:val="009334A0"/>
    <w:rsid w:val="009336D7"/>
    <w:rsid w:val="009620E2"/>
    <w:rsid w:val="00990E9C"/>
    <w:rsid w:val="009B03F9"/>
    <w:rsid w:val="009B160B"/>
    <w:rsid w:val="009D4BC8"/>
    <w:rsid w:val="009D5B8D"/>
    <w:rsid w:val="009F5818"/>
    <w:rsid w:val="00A01B0A"/>
    <w:rsid w:val="00A20113"/>
    <w:rsid w:val="00A22839"/>
    <w:rsid w:val="00A3257F"/>
    <w:rsid w:val="00A33185"/>
    <w:rsid w:val="00A41570"/>
    <w:rsid w:val="00A41DB1"/>
    <w:rsid w:val="00A53B04"/>
    <w:rsid w:val="00A601DE"/>
    <w:rsid w:val="00A64DDF"/>
    <w:rsid w:val="00A7271A"/>
    <w:rsid w:val="00A82C85"/>
    <w:rsid w:val="00A84ED1"/>
    <w:rsid w:val="00AA280B"/>
    <w:rsid w:val="00AA5479"/>
    <w:rsid w:val="00AB795F"/>
    <w:rsid w:val="00AC6312"/>
    <w:rsid w:val="00B1160D"/>
    <w:rsid w:val="00B14937"/>
    <w:rsid w:val="00B335AC"/>
    <w:rsid w:val="00B4220B"/>
    <w:rsid w:val="00B44F1D"/>
    <w:rsid w:val="00B53EFF"/>
    <w:rsid w:val="00B54AFA"/>
    <w:rsid w:val="00B56DAE"/>
    <w:rsid w:val="00B57442"/>
    <w:rsid w:val="00B628D7"/>
    <w:rsid w:val="00B74FD0"/>
    <w:rsid w:val="00B804E8"/>
    <w:rsid w:val="00B96C5E"/>
    <w:rsid w:val="00BB36D9"/>
    <w:rsid w:val="00BC19E9"/>
    <w:rsid w:val="00BC206C"/>
    <w:rsid w:val="00BC3849"/>
    <w:rsid w:val="00BD52B6"/>
    <w:rsid w:val="00C01297"/>
    <w:rsid w:val="00C01A35"/>
    <w:rsid w:val="00C57267"/>
    <w:rsid w:val="00C64714"/>
    <w:rsid w:val="00C90DB3"/>
    <w:rsid w:val="00C9233F"/>
    <w:rsid w:val="00CE3352"/>
    <w:rsid w:val="00CF0FC4"/>
    <w:rsid w:val="00CF6932"/>
    <w:rsid w:val="00D15CFA"/>
    <w:rsid w:val="00D27997"/>
    <w:rsid w:val="00D372BF"/>
    <w:rsid w:val="00D37F2F"/>
    <w:rsid w:val="00D47AA9"/>
    <w:rsid w:val="00D72D2D"/>
    <w:rsid w:val="00D835CF"/>
    <w:rsid w:val="00D851C2"/>
    <w:rsid w:val="00D90A37"/>
    <w:rsid w:val="00DA26FB"/>
    <w:rsid w:val="00DB0292"/>
    <w:rsid w:val="00DB6C3D"/>
    <w:rsid w:val="00DC5ACF"/>
    <w:rsid w:val="00DD5CA2"/>
    <w:rsid w:val="00DE6A36"/>
    <w:rsid w:val="00DE71D3"/>
    <w:rsid w:val="00DF08A0"/>
    <w:rsid w:val="00DF0973"/>
    <w:rsid w:val="00E21E6B"/>
    <w:rsid w:val="00E23647"/>
    <w:rsid w:val="00E6003D"/>
    <w:rsid w:val="00E80B8B"/>
    <w:rsid w:val="00E8313E"/>
    <w:rsid w:val="00E856A8"/>
    <w:rsid w:val="00E86B50"/>
    <w:rsid w:val="00E90107"/>
    <w:rsid w:val="00E90F74"/>
    <w:rsid w:val="00EA3646"/>
    <w:rsid w:val="00EB5E57"/>
    <w:rsid w:val="00EB6285"/>
    <w:rsid w:val="00EF481B"/>
    <w:rsid w:val="00F261E7"/>
    <w:rsid w:val="00F5649A"/>
    <w:rsid w:val="00F57CD9"/>
    <w:rsid w:val="00F75BA1"/>
    <w:rsid w:val="00F82342"/>
    <w:rsid w:val="00F84AA2"/>
    <w:rsid w:val="00F91AE4"/>
    <w:rsid w:val="00FA1D36"/>
    <w:rsid w:val="00FB1231"/>
    <w:rsid w:val="00FB51BC"/>
    <w:rsid w:val="00FD7075"/>
    <w:rsid w:val="00FE17E2"/>
    <w:rsid w:val="00FF2D76"/>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5D7F38"/>
    <w:pPr>
      <w:spacing w:after="160" w:line="240" w:lineRule="exact"/>
    </w:pPr>
    <w:rPr>
      <w:rFonts w:ascii="Verdana" w:hAnsi="Verdana"/>
      <w:sz w:val="20"/>
      <w:lang w:val="en-US"/>
    </w:rPr>
  </w:style>
  <w:style w:type="paragraph" w:styleId="PlainText">
    <w:name w:val="Plain Text"/>
    <w:basedOn w:val="Normal"/>
    <w:link w:val="PlainTextChar"/>
    <w:uiPriority w:val="99"/>
    <w:unhideWhenUsed/>
    <w:rsid w:val="00BC384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C3849"/>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5D7F38"/>
    <w:pPr>
      <w:spacing w:after="160" w:line="240" w:lineRule="exact"/>
    </w:pPr>
    <w:rPr>
      <w:rFonts w:ascii="Verdana" w:hAnsi="Verdana"/>
      <w:sz w:val="20"/>
      <w:lang w:val="en-US"/>
    </w:rPr>
  </w:style>
  <w:style w:type="paragraph" w:styleId="PlainText">
    <w:name w:val="Plain Text"/>
    <w:basedOn w:val="Normal"/>
    <w:link w:val="PlainTextChar"/>
    <w:uiPriority w:val="99"/>
    <w:unhideWhenUsed/>
    <w:rsid w:val="00BC384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C384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484712526">
      <w:bodyDiv w:val="1"/>
      <w:marLeft w:val="0"/>
      <w:marRight w:val="0"/>
      <w:marTop w:val="0"/>
      <w:marBottom w:val="0"/>
      <w:divBdr>
        <w:top w:val="none" w:sz="0" w:space="0" w:color="auto"/>
        <w:left w:val="none" w:sz="0" w:space="0" w:color="auto"/>
        <w:bottom w:val="none" w:sz="0" w:space="0" w:color="auto"/>
        <w:right w:val="none" w:sz="0" w:space="0" w:color="auto"/>
      </w:divBdr>
    </w:div>
    <w:div w:id="587420288">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2872433">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90061849">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39887017">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 w:id="1883860321">
      <w:bodyDiv w:val="1"/>
      <w:marLeft w:val="0"/>
      <w:marRight w:val="0"/>
      <w:marTop w:val="0"/>
      <w:marBottom w:val="0"/>
      <w:divBdr>
        <w:top w:val="none" w:sz="0" w:space="0" w:color="auto"/>
        <w:left w:val="none" w:sz="0" w:space="0" w:color="auto"/>
        <w:bottom w:val="none" w:sz="0" w:space="0" w:color="auto"/>
        <w:right w:val="none" w:sz="0" w:space="0" w:color="auto"/>
      </w:divBdr>
    </w:div>
    <w:div w:id="1921601003">
      <w:bodyDiv w:val="1"/>
      <w:marLeft w:val="0"/>
      <w:marRight w:val="0"/>
      <w:marTop w:val="0"/>
      <w:marBottom w:val="0"/>
      <w:divBdr>
        <w:top w:val="none" w:sz="0" w:space="0" w:color="auto"/>
        <w:left w:val="none" w:sz="0" w:space="0" w:color="auto"/>
        <w:bottom w:val="none" w:sz="0" w:space="0" w:color="auto"/>
        <w:right w:val="none" w:sz="0" w:space="0" w:color="auto"/>
      </w:divBdr>
    </w:div>
    <w:div w:id="21154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on.daniels@harrow.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7F6C-D5F6-4549-974D-D0B3BCBA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3069</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19675</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Daksha Ghelani</cp:lastModifiedBy>
  <cp:revision>7</cp:revision>
  <cp:lastPrinted>2017-02-06T11:09:00Z</cp:lastPrinted>
  <dcterms:created xsi:type="dcterms:W3CDTF">2017-02-01T10:48:00Z</dcterms:created>
  <dcterms:modified xsi:type="dcterms:W3CDTF">2017-02-06T16:27:00Z</dcterms:modified>
</cp:coreProperties>
</file>